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5f6ba7221d7ae25df2f8996cc10efd560427905c.png"/>
            <a:graphic>
              <a:graphicData uri="http://schemas.openxmlformats.org/drawingml/2006/picture">
                <pic:pic>
                  <pic:nvPicPr>
                    <pic:cNvPr id="1" name="image-5f6ba7221d7ae25df2f8996cc10efd560427905c.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give me overview of technology on manufacturing process of alumina from coal ash or coal combustion residuals at thermal power plant.</w:t>
      </w:r>
    </w:p>
    <w:p>
      <w:pPr>
        <w:spacing w:line="360" w:after="210" w:lineRule="auto"/>
      </w:pPr>
      <w:r>
        <w:rPr>
          <w:rFonts w:eastAsia="inter" w:cs="inter" w:ascii="inter" w:hAnsi="inter"/>
          <w:color w:val="000000"/>
        </w:rPr>
        <w:t xml:space="preserve">The production of alumina from coal ash or coal combustion residuals at thermal power plants uses innovative chemical and thermochemical processes to recover alumina, an important industrial raw material, from waste streams rich in aluminum oxides.</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p>
    <w:p>
      <w:pPr>
        <w:spacing w:line="360" w:before="315" w:after="105" w:lineRule="auto"/>
        <w:ind w:left="-30"/>
        <w:jc w:val="left"/>
      </w:pPr>
      <w:r>
        <w:rPr>
          <w:rFonts w:eastAsia="inter" w:cs="inter" w:ascii="inter" w:hAnsi="inter"/>
          <w:b/>
          <w:color w:val="000000"/>
          <w:sz w:val="24"/>
        </w:rPr>
        <w:t xml:space="preserve">Sources and Types of Coal Ash</w:t>
      </w:r>
    </w:p>
    <w:p>
      <w:pPr>
        <w:spacing w:line="360" w:after="210" w:lineRule="auto"/>
      </w:pPr>
      <w:r>
        <w:rPr>
          <w:rFonts w:eastAsia="inter" w:cs="inter" w:ascii="inter" w:hAnsi="inter"/>
          <w:color w:val="000000"/>
        </w:rPr>
        <w:t xml:space="preserve">Coal-fired thermal power plants generate significant quantities of ash, mainly as fly ash and bottom (clinker) ash. </w:t>
      </w:r>
      <w:r>
        <w:rPr>
          <w:rFonts w:eastAsia="inter" w:cs="inter" w:ascii="inter" w:hAnsi="inter"/>
          <w:b/>
          <w:color w:val="000000"/>
        </w:rPr>
        <w:t xml:space="preserve">Fly ash</w:t>
      </w:r>
      <w:r>
        <w:rPr>
          <w:rFonts w:eastAsia="inter" w:cs="inter" w:ascii="inter" w:hAnsi="inter"/>
          <w:color w:val="000000"/>
        </w:rPr>
        <w:t xml:space="preserve"> generally contains appreciable amounts of alumina (Al₂O₃) and silica (SiO₂), making it a candidate for alumina extraction.</w:t>
      </w:r>
      <w:bookmarkStart w:id="3" w:name="fnref4"/>
      <w:bookmarkEnd w:id="3"/>
      <w:hyperlink w:anchor="fn4">
        <w:r>
          <w:rPr>
            <w:rFonts w:eastAsia="inter" w:cs="inter" w:ascii="inter" w:hAnsi="inter"/>
            <w:color w:val="#000"/>
            <w:u w:val="single"/>
            <w:vertAlign w:val="superscript"/>
          </w:rPr>
          <w:t xml:space="preserve">[4]</w:t>
        </w:r>
      </w:hyperlink>
      <w:bookmarkStart w:id="4" w:name="fnref5"/>
      <w:bookmarkEnd w:id="4"/>
      <w:hyperlink w:anchor="fn5">
        <w:r>
          <w:rPr>
            <w:rFonts w:eastAsia="inter" w:cs="inter" w:ascii="inter" w:hAnsi="inter"/>
            <w:color w:val="#000"/>
            <w:u w:val="single"/>
            <w:vertAlign w:val="superscript"/>
          </w:rPr>
          <w:t xml:space="preserve">[5]</w:t>
        </w:r>
      </w:hyperlink>
      <w:bookmarkStart w:id="5" w:name="fnref1:1"/>
      <w:bookmarkEnd w:id="5"/>
      <w:hyperlink w:anchor="fn1">
        <w:r>
          <w:rPr>
            <w:rFonts w:eastAsia="inter" w:cs="inter" w:ascii="inter" w:hAnsi="inter"/>
            <w:color w:val="#000"/>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Key Extraction Technologies</w:t>
      </w:r>
    </w:p>
    <w:p>
      <w:pPr>
        <w:spacing w:line="360" w:after="210" w:lineRule="auto"/>
      </w:pPr>
      <w:r>
        <w:rPr>
          <w:rFonts w:eastAsia="inter" w:cs="inter" w:ascii="inter" w:hAnsi="inter"/>
          <w:color w:val="000000"/>
        </w:rPr>
        <w:t xml:space="preserve">Several methods are used for alumina extraction from coal ash:</w:t>
      </w:r>
    </w:p>
    <w:p>
      <w:pPr>
        <w:numPr>
          <w:ilvl w:val="0"/>
          <w:numId w:val="1"/>
        </w:numPr>
        <w:spacing w:line="360" w:before="105" w:after="105" w:lineRule="auto"/>
      </w:pPr>
      <w:r>
        <w:rPr>
          <w:rFonts w:eastAsia="inter" w:cs="inter" w:ascii="inter" w:hAnsi="inter"/>
          <w:b/>
          <w:color w:val="000000"/>
          <w:sz w:val="21"/>
        </w:rPr>
        <w:t xml:space="preserve">Alkaline Leaching</w:t>
      </w:r>
      <w:r>
        <w:rPr>
          <w:rFonts w:eastAsia="inter" w:cs="inter" w:ascii="inter" w:hAnsi="inter"/>
          <w:color w:val="000000"/>
          <w:sz w:val="21"/>
        </w:rPr>
        <w:t xml:space="preserve">: Pressure or atmospheric leaching using sodium hydroxide (NaOH) is employed to dissolve the alumina. Pre-treatments, such as desilication or high-temperature roasting with additives (e.g., calcium compounds), are used to break down resistant minerals like mullite and boost efficiency, yielding recovery rates over 80% under optimized conditions.</w:t>
      </w:r>
      <w:bookmarkStart w:id="6" w:name="fnref2:1"/>
      <w:bookmarkEnd w:id="6"/>
      <w:hyperlink w:anchor="fn2">
        <w:r>
          <w:rPr>
            <w:rFonts w:eastAsia="inter" w:cs="inter" w:ascii="inter" w:hAnsi="inter"/>
            <w:color w:val="#000"/>
            <w:sz w:val="21"/>
            <w:u w:val="single"/>
            <w:vertAlign w:val="superscript"/>
          </w:rPr>
          <w:t xml:space="preserve">[2]</w:t>
        </w:r>
      </w:hyperlink>
      <w:bookmarkStart w:id="7" w:name="fnref1:2"/>
      <w:bookmarkEnd w:id="7"/>
      <w:hyperlink w:anchor="fn1">
        <w:r>
          <w:rPr>
            <w:rFonts w:eastAsia="inter" w:cs="inter" w:ascii="inter" w:hAnsi="inter"/>
            <w:color w:val="#000"/>
            <w:sz w:val="21"/>
            <w:u w:val="single"/>
            <w:vertAlign w:val="superscript"/>
          </w:rPr>
          <w:t xml:space="preserve">[1]</w:t>
        </w:r>
      </w:hyperlink>
    </w:p>
    <w:p>
      <w:pPr>
        <w:numPr>
          <w:ilvl w:val="0"/>
          <w:numId w:val="1"/>
        </w:numPr>
        <w:spacing w:line="360" w:before="105" w:after="105" w:lineRule="auto"/>
      </w:pPr>
      <w:r>
        <w:rPr>
          <w:rFonts w:eastAsia="inter" w:cs="inter" w:ascii="inter" w:hAnsi="inter"/>
          <w:b/>
          <w:color w:val="000000"/>
          <w:sz w:val="21"/>
        </w:rPr>
        <w:t xml:space="preserve">Acid Leaching</w:t>
      </w:r>
      <w:r>
        <w:rPr>
          <w:rFonts w:eastAsia="inter" w:cs="inter" w:ascii="inter" w:hAnsi="inter"/>
          <w:color w:val="000000"/>
          <w:sz w:val="21"/>
        </w:rPr>
        <w:t xml:space="preserve">: Treatment of ash with inorganic acids such as sulfuric, hydrochloric, or nitric acid can extract alumina, often in combination with prior calcination or sintering. The acid process can achieve high recovery but needs further purification steps to separate alumina from impurities and dissolved silica.</w:t>
      </w:r>
      <w:bookmarkStart w:id="8" w:name="fnref6"/>
      <w:bookmarkEnd w:id="8"/>
      <w:hyperlink w:anchor="fn6">
        <w:r>
          <w:rPr>
            <w:rFonts w:eastAsia="inter" w:cs="inter" w:ascii="inter" w:hAnsi="inter"/>
            <w:color w:val="#000"/>
            <w:sz w:val="21"/>
            <w:u w:val="single"/>
            <w:vertAlign w:val="superscript"/>
          </w:rPr>
          <w:t xml:space="preserve">[6]</w:t>
        </w:r>
      </w:hyperlink>
      <w:bookmarkStart w:id="9" w:name="fnref2:2"/>
      <w:bookmarkEnd w:id="9"/>
      <w:hyperlink w:anchor="fn2">
        <w:r>
          <w:rPr>
            <w:rFonts w:eastAsia="inter" w:cs="inter" w:ascii="inter" w:hAnsi="inter"/>
            <w:color w:val="#000"/>
            <w:sz w:val="21"/>
            <w:u w:val="single"/>
            <w:vertAlign w:val="superscript"/>
          </w:rPr>
          <w:t xml:space="preserve">[2]</w:t>
        </w:r>
      </w:hyperlink>
    </w:p>
    <w:p>
      <w:pPr>
        <w:numPr>
          <w:ilvl w:val="0"/>
          <w:numId w:val="1"/>
        </w:numPr>
        <w:spacing w:line="360" w:before="105" w:after="105" w:lineRule="auto"/>
      </w:pPr>
      <w:r>
        <w:rPr>
          <w:rFonts w:eastAsia="inter" w:cs="inter" w:ascii="inter" w:hAnsi="inter"/>
          <w:b/>
          <w:color w:val="000000"/>
          <w:sz w:val="21"/>
        </w:rPr>
        <w:t xml:space="preserve">Ammonium Sulfate Roasting</w:t>
      </w:r>
      <w:r>
        <w:rPr>
          <w:rFonts w:eastAsia="inter" w:cs="inter" w:ascii="inter" w:hAnsi="inter"/>
          <w:color w:val="000000"/>
          <w:sz w:val="21"/>
        </w:rPr>
        <w:t xml:space="preserve">: Roasting fly ash with ammonium sulfate and subsequent leaching can convert alumina-bearing phases into soluble complexes, with reported recovery rates exceeding 90% under ideal conditions.</w:t>
      </w:r>
      <w:bookmarkStart w:id="10" w:name="fnref3:1"/>
      <w:bookmarkEnd w:id="10"/>
      <w:hyperlink w:anchor="fn3">
        <w:r>
          <w:rPr>
            <w:rFonts w:eastAsia="inter" w:cs="inter" w:ascii="inter" w:hAnsi="inter"/>
            <w:color w:val="#000"/>
            <w:sz w:val="21"/>
            <w:u w:val="single"/>
            <w:vertAlign w:val="superscript"/>
          </w:rPr>
          <w:t xml:space="preserve">[3]</w:t>
        </w:r>
      </w:hyperlink>
    </w:p>
    <w:p>
      <w:pPr>
        <w:numPr>
          <w:ilvl w:val="0"/>
          <w:numId w:val="1"/>
        </w:numPr>
        <w:spacing w:line="360" w:before="105" w:after="105" w:lineRule="auto"/>
      </w:pPr>
      <w:r>
        <w:rPr>
          <w:rFonts w:eastAsia="inter" w:cs="inter" w:ascii="inter" w:hAnsi="inter"/>
          <w:b/>
          <w:color w:val="000000"/>
          <w:sz w:val="21"/>
        </w:rPr>
        <w:t xml:space="preserve">Soda-Lime Sintering</w:t>
      </w:r>
      <w:r>
        <w:rPr>
          <w:rFonts w:eastAsia="inter" w:cs="inter" w:ascii="inter" w:hAnsi="inter"/>
          <w:color w:val="000000"/>
          <w:sz w:val="21"/>
        </w:rPr>
        <w:t xml:space="preserve">: This thermochemical route involves sintering ash with lime and soda at high temperatures, transforming mullite into more extractable phases and subsequently leaching with alkaline solutions.</w:t>
      </w:r>
      <w:bookmarkStart w:id="11" w:name="fnref7"/>
      <w:bookmarkEnd w:id="11"/>
      <w:hyperlink w:anchor="fn7">
        <w:r>
          <w:rPr>
            <w:rFonts w:eastAsia="inter" w:cs="inter" w:ascii="inter" w:hAnsi="inter"/>
            <w:color w:val="#000"/>
            <w:sz w:val="21"/>
            <w:u w:val="single"/>
            <w:vertAlign w:val="superscript"/>
          </w:rPr>
          <w:t xml:space="preserve">[7]</w:t>
        </w:r>
      </w:hyperlink>
    </w:p>
    <w:p>
      <w:pPr>
        <w:numPr>
          <w:ilvl w:val="0"/>
          <w:numId w:val="1"/>
        </w:numPr>
        <w:spacing w:line="360" w:before="105" w:after="105" w:lineRule="auto"/>
      </w:pPr>
      <w:r>
        <w:rPr>
          <w:rFonts w:eastAsia="inter" w:cs="inter" w:ascii="inter" w:hAnsi="inter"/>
          <w:b/>
          <w:color w:val="000000"/>
          <w:sz w:val="21"/>
        </w:rPr>
        <w:t xml:space="preserve">Hybrid and Pilot Methods</w:t>
      </w:r>
      <w:r>
        <w:rPr>
          <w:rFonts w:eastAsia="inter" w:cs="inter" w:ascii="inter" w:hAnsi="inter"/>
          <w:color w:val="000000"/>
          <w:sz w:val="21"/>
        </w:rPr>
        <w:t xml:space="preserve">: Some research explores combinations of heat treatment, magnetic separation to remove iron, and sequential chemical processing, aimed at maximizing alumina purity and yield.</w:t>
      </w:r>
      <w:bookmarkStart w:id="12" w:name="fnref8"/>
      <w:bookmarkEnd w:id="12"/>
      <w:hyperlink w:anchor="fn8">
        <w:r>
          <w:rPr>
            <w:rFonts w:eastAsia="inter" w:cs="inter" w:ascii="inter" w:hAnsi="inter"/>
            <w:color w:val="#000"/>
            <w:sz w:val="21"/>
            <w:u w:val="single"/>
            <w:vertAlign w:val="superscript"/>
          </w:rPr>
          <w:t xml:space="preserve">[8]</w:t>
        </w:r>
      </w:hyperlink>
      <w:bookmarkStart w:id="13" w:name="fnref2:3"/>
      <w:bookmarkEnd w:id="13"/>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Process Flow Overview</w:t>
      </w:r>
    </w:p>
    <w:p>
      <w:pPr>
        <w:numPr>
          <w:ilvl w:val="0"/>
          <w:numId w:val="2"/>
        </w:numPr>
        <w:spacing w:line="360" w:before="105" w:after="105" w:lineRule="auto"/>
      </w:pPr>
      <w:r>
        <w:rPr>
          <w:rFonts w:eastAsia="inter" w:cs="inter" w:ascii="inter" w:hAnsi="inter"/>
          <w:b/>
          <w:color w:val="000000"/>
          <w:sz w:val="21"/>
        </w:rPr>
        <w:t xml:space="preserve">Preparation and Enrichment</w:t>
      </w:r>
      <w:r>
        <w:rPr>
          <w:rFonts w:eastAsia="inter" w:cs="inter" w:ascii="inter" w:hAnsi="inter"/>
          <w:color w:val="000000"/>
          <w:sz w:val="21"/>
        </w:rPr>
        <w:t xml:space="preserve">: Ash is collected, dried, and may be enriched by removing carbon, magnetic impurities (iron), or desilication.</w:t>
      </w:r>
      <w:bookmarkStart w:id="14" w:name="fnref9"/>
      <w:bookmarkEnd w:id="14"/>
      <w:hyperlink w:anchor="fn9">
        <w:r>
          <w:rPr>
            <w:rFonts w:eastAsia="inter" w:cs="inter" w:ascii="inter" w:hAnsi="inter"/>
            <w:color w:val="#000"/>
            <w:sz w:val="21"/>
            <w:u w:val="single"/>
            <w:vertAlign w:val="superscript"/>
          </w:rPr>
          <w:t xml:space="preserve">[9]</w:t>
        </w:r>
      </w:hyperlink>
      <w:bookmarkStart w:id="15" w:name="fnref8:1"/>
      <w:bookmarkEnd w:id="15"/>
      <w:hyperlink w:anchor="fn8">
        <w:r>
          <w:rPr>
            <w:rFonts w:eastAsia="inter" w:cs="inter" w:ascii="inter" w:hAnsi="inter"/>
            <w:color w:val="#000"/>
            <w:sz w:val="21"/>
            <w:u w:val="single"/>
            <w:vertAlign w:val="superscript"/>
          </w:rPr>
          <w:t xml:space="preserve">[8]</w:t>
        </w:r>
      </w:hyperlink>
    </w:p>
    <w:p>
      <w:pPr>
        <w:numPr>
          <w:ilvl w:val="0"/>
          <w:numId w:val="2"/>
        </w:numPr>
        <w:spacing w:line="360" w:before="105" w:after="105" w:lineRule="auto"/>
      </w:pPr>
      <w:r>
        <w:rPr>
          <w:rFonts w:eastAsia="inter" w:cs="inter" w:ascii="inter" w:hAnsi="inter"/>
          <w:b/>
          <w:color w:val="000000"/>
          <w:sz w:val="21"/>
        </w:rPr>
        <w:t xml:space="preserve">Chemical Conversion</w:t>
      </w:r>
      <w:r>
        <w:rPr>
          <w:rFonts w:eastAsia="inter" w:cs="inter" w:ascii="inter" w:hAnsi="inter"/>
          <w:color w:val="000000"/>
          <w:sz w:val="21"/>
        </w:rPr>
        <w:t xml:space="preserve">: Targeted chemical/thermal treatment converts alumina to soluble forms.</w:t>
      </w:r>
    </w:p>
    <w:p>
      <w:pPr>
        <w:numPr>
          <w:ilvl w:val="0"/>
          <w:numId w:val="2"/>
        </w:numPr>
        <w:spacing w:line="360" w:before="105" w:after="105" w:lineRule="auto"/>
      </w:pPr>
      <w:r>
        <w:rPr>
          <w:rFonts w:eastAsia="inter" w:cs="inter" w:ascii="inter" w:hAnsi="inter"/>
          <w:b/>
          <w:color w:val="000000"/>
          <w:sz w:val="21"/>
        </w:rPr>
        <w:t xml:space="preserve">Leaching</w:t>
      </w:r>
      <w:r>
        <w:rPr>
          <w:rFonts w:eastAsia="inter" w:cs="inter" w:ascii="inter" w:hAnsi="inter"/>
          <w:color w:val="000000"/>
          <w:sz w:val="21"/>
        </w:rPr>
        <w:t xml:space="preserve">: Alumina is solubilized using strong alkali or acid (sometimes with autoclave conditions).</w:t>
      </w:r>
    </w:p>
    <w:p>
      <w:pPr>
        <w:numPr>
          <w:ilvl w:val="0"/>
          <w:numId w:val="2"/>
        </w:numPr>
        <w:spacing w:line="360" w:before="105" w:after="105" w:lineRule="auto"/>
      </w:pPr>
      <w:r>
        <w:rPr>
          <w:rFonts w:eastAsia="inter" w:cs="inter" w:ascii="inter" w:hAnsi="inter"/>
          <w:b/>
          <w:color w:val="000000"/>
          <w:sz w:val="21"/>
        </w:rPr>
        <w:t xml:space="preserve">Separation and Purification</w:t>
      </w:r>
      <w:r>
        <w:rPr>
          <w:rFonts w:eastAsia="inter" w:cs="inter" w:ascii="inter" w:hAnsi="inter"/>
          <w:color w:val="000000"/>
          <w:sz w:val="21"/>
        </w:rPr>
        <w:t xml:space="preserve">: Dissolved alumina is separated from impurities (e.g., silica, iron, calcium) through selective precipitation, filtration, or additional chemical treatments.</w:t>
      </w:r>
    </w:p>
    <w:p>
      <w:pPr>
        <w:numPr>
          <w:ilvl w:val="0"/>
          <w:numId w:val="2"/>
        </w:numPr>
        <w:spacing w:line="360" w:before="105" w:after="105" w:lineRule="auto"/>
      </w:pPr>
      <w:r>
        <w:rPr>
          <w:rFonts w:eastAsia="inter" w:cs="inter" w:ascii="inter" w:hAnsi="inter"/>
          <w:b/>
          <w:color w:val="000000"/>
          <w:sz w:val="21"/>
        </w:rPr>
        <w:t xml:space="preserve">Calcination</w:t>
      </w:r>
      <w:r>
        <w:rPr>
          <w:rFonts w:eastAsia="inter" w:cs="inter" w:ascii="inter" w:hAnsi="inter"/>
          <w:color w:val="000000"/>
          <w:sz w:val="21"/>
        </w:rPr>
        <w:t xml:space="preserve">: Aluminum hydroxide is precipitated and then calcined at 700–800 °C to produce high-purity alumina powder.</w:t>
      </w:r>
      <w:bookmarkStart w:id="16" w:name="fnref9:1"/>
      <w:bookmarkEnd w:id="16"/>
      <w:hyperlink w:anchor="fn9">
        <w:r>
          <w:rPr>
            <w:rFonts w:eastAsia="inter" w:cs="inter" w:ascii="inter" w:hAnsi="inter"/>
            <w:color w:val="#000"/>
            <w:sz w:val="21"/>
            <w:u w:val="single"/>
            <w:vertAlign w:val="superscript"/>
          </w:rPr>
          <w:t xml:space="preserve">[9]</w:t>
        </w:r>
      </w:hyperlink>
    </w:p>
    <w:p>
      <w:pPr>
        <w:numPr>
          <w:ilvl w:val="0"/>
          <w:numId w:val="2"/>
        </w:numPr>
        <w:spacing w:line="360" w:before="105" w:after="105" w:lineRule="auto"/>
      </w:pPr>
      <w:r>
        <w:rPr>
          <w:rFonts w:eastAsia="inter" w:cs="inter" w:ascii="inter" w:hAnsi="inter"/>
          <w:b/>
          <w:color w:val="000000"/>
          <w:sz w:val="21"/>
        </w:rPr>
        <w:t xml:space="preserve">Residue and By-product Management</w:t>
      </w:r>
      <w:r>
        <w:rPr>
          <w:rFonts w:eastAsia="inter" w:cs="inter" w:ascii="inter" w:hAnsi="inter"/>
          <w:color w:val="000000"/>
          <w:sz w:val="21"/>
        </w:rPr>
        <w:t xml:space="preserve">: Non-alumina components are often managed as secondary construction materials or, if nonreactive, as waste.</w:t>
      </w:r>
      <w:bookmarkStart w:id="17" w:name="fnref4:1"/>
      <w:bookmarkEnd w:id="17"/>
      <w:hyperlink w:anchor="fn4">
        <w:r>
          <w:rPr>
            <w:rFonts w:eastAsia="inter" w:cs="inter" w:ascii="inter" w:hAnsi="inter"/>
            <w:color w:val="#000"/>
            <w:sz w:val="21"/>
            <w:u w:val="single"/>
            <w:vertAlign w:val="superscript"/>
          </w:rPr>
          <w:t xml:space="preserve">[4]</w:t>
        </w:r>
      </w:hyperlink>
    </w:p>
    <w:p>
      <w:pPr>
        <w:spacing w:line="360" w:before="315" w:after="105" w:lineRule="auto"/>
        <w:ind w:left="-30"/>
        <w:jc w:val="left"/>
      </w:pPr>
      <w:r>
        <w:rPr>
          <w:rFonts w:eastAsia="inter" w:cs="inter" w:ascii="inter" w:hAnsi="inter"/>
          <w:b/>
          <w:color w:val="000000"/>
          <w:sz w:val="24"/>
        </w:rPr>
        <w:t xml:space="preserve">Sustainability and Challenges</w:t>
      </w:r>
    </w:p>
    <w:p>
      <w:pPr>
        <w:spacing w:line="360" w:after="210" w:lineRule="auto"/>
      </w:pPr>
      <w:r>
        <w:rPr>
          <w:rFonts w:eastAsia="inter" w:cs="inter" w:ascii="inter" w:hAnsi="inter"/>
          <w:color w:val="000000"/>
        </w:rPr>
        <w:t xml:space="preserve">Current research focuses on improving extraction efficiency, economic viability, energy consumption, and the purity of the final alumina product. Acid and alkali processes require careful waste handling and recovery steps to manage environmental impacts. Transitioning from pilot to industrial scale also needs technical advances in chemical recycling and residue management.</w:t>
      </w:r>
      <w:bookmarkStart w:id="18" w:name="fnref2:4"/>
      <w:bookmarkEnd w:id="18"/>
      <w:hyperlink w:anchor="fn2">
        <w:r>
          <w:rPr>
            <w:rFonts w:eastAsia="inter" w:cs="inter" w:ascii="inter" w:hAnsi="inter"/>
            <w:color w:val="#000"/>
            <w:u w:val="single"/>
            <w:vertAlign w:val="superscript"/>
          </w:rPr>
          <w:t xml:space="preserve">[2]</w:t>
        </w:r>
      </w:hyperlink>
      <w:bookmarkStart w:id="19" w:name="fnref6:1"/>
      <w:bookmarkEnd w:id="19"/>
      <w:hyperlink w:anchor="fn6">
        <w:r>
          <w:rPr>
            <w:rFonts w:eastAsia="inter" w:cs="inter" w:ascii="inter" w:hAnsi="inter"/>
            <w:color w:val="#000"/>
            <w:u w:val="single"/>
            <w:vertAlign w:val="superscript"/>
          </w:rPr>
          <w:t xml:space="preserve">[6]</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In summary, alumina extraction from coal combustion residuals is an active field using pressure alkaline leaching, acid leaching, salt roasting, and sintering routes, each adapted to address the challenging chemistry of coal ash and maximize sustainable resource utilization.</w:t>
      </w:r>
      <w:bookmarkStart w:id="20" w:name="fnref1:3"/>
      <w:bookmarkEnd w:id="20"/>
      <w:hyperlink w:anchor="fn1">
        <w:r>
          <w:rPr>
            <w:rFonts w:eastAsia="inter" w:cs="inter" w:ascii="inter" w:hAnsi="inter"/>
            <w:color w:val="#000"/>
            <w:u w:val="single"/>
            <w:vertAlign w:val="superscript"/>
          </w:rPr>
          <w:t xml:space="preserve">[1]</w:t>
        </w:r>
      </w:hyperlink>
      <w:bookmarkStart w:id="21" w:name="fnref3:2"/>
      <w:bookmarkEnd w:id="21"/>
      <w:hyperlink w:anchor="fn3">
        <w:r>
          <w:rPr>
            <w:rFonts w:eastAsia="inter" w:cs="inter" w:ascii="inter" w:hAnsi="inter"/>
            <w:color w:val="#000"/>
            <w:u w:val="single"/>
            <w:vertAlign w:val="superscript"/>
          </w:rPr>
          <w:t xml:space="preserve">[3]</w:t>
        </w:r>
      </w:hyperlink>
      <w:bookmarkStart w:id="22" w:name="fnref2:5"/>
      <w:bookmarkEnd w:id="22"/>
      <w:hyperlink w:anchor="fn2">
        <w:r>
          <w:rPr>
            <w:rFonts w:eastAsia="inter" w:cs="inter" w:ascii="inter" w:hAnsi="inter"/>
            <w:color w:val="#000"/>
            <w:u w:val="single"/>
            <w:vertAlign w:val="superscript"/>
          </w:rPr>
          <w:t xml:space="preserve">[2]</w:t>
        </w:r>
      </w:hyperlink>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23" w:name="fn1"/>
    <w:bookmarkEnd w:id="23"/>
    <w:p>
      <w:pPr>
        <w:numPr>
          <w:ilvl w:val="0"/>
          <w:numId w:val="4"/>
        </w:numPr>
        <w:spacing w:line="360" w:after="210" w:lineRule="auto"/>
      </w:pPr>
      <w:hyperlink r:id="rId6">
        <w:r>
          <w:rPr>
            <w:rFonts w:eastAsia="inter" w:cs="inter" w:ascii="inter" w:hAnsi="inter"/>
            <w:color w:val="#000"/>
            <w:sz w:val="18"/>
            <w:u w:val="single"/>
          </w:rPr>
          <w:t xml:space="preserve">https://pmc.ncbi.nlm.nih.gov/articles/PMC8707349/</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4" w:name="fn2"/>
    <w:bookmarkEnd w:id="24"/>
    <w:p>
      <w:pPr>
        <w:numPr>
          <w:ilvl w:val="0"/>
          <w:numId w:val="4"/>
        </w:numPr>
        <w:spacing w:line="360" w:after="210" w:lineRule="auto"/>
      </w:pPr>
      <w:hyperlink r:id="rId7">
        <w:r>
          <w:rPr>
            <w:rFonts w:eastAsia="inter" w:cs="inter" w:ascii="inter" w:hAnsi="inter"/>
            <w:color w:val="#000"/>
            <w:sz w:val="18"/>
            <w:u w:val="single"/>
          </w:rPr>
          <w:t xml:space="preserve">https://pmc.ncbi.nlm.nih.gov/articles/PMC11324987/</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5" w:name="fn3"/>
    <w:bookmarkEnd w:id="25"/>
    <w:p>
      <w:pPr>
        <w:numPr>
          <w:ilvl w:val="0"/>
          <w:numId w:val="4"/>
        </w:numPr>
        <w:spacing w:line="360" w:after="210" w:lineRule="auto"/>
      </w:pPr>
      <w:hyperlink r:id="rId8">
        <w:r>
          <w:rPr>
            <w:rFonts w:eastAsia="inter" w:cs="inter" w:ascii="inter" w:hAnsi="inter"/>
            <w:color w:val="#000"/>
            <w:sz w:val="18"/>
            <w:u w:val="single"/>
          </w:rPr>
          <w:t xml:space="preserve">https://pubs.rsc.org/en/content/articlelanding/2022/ra/d2ra06658k</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6" w:name="fn4"/>
    <w:bookmarkEnd w:id="26"/>
    <w:p>
      <w:pPr>
        <w:numPr>
          <w:ilvl w:val="0"/>
          <w:numId w:val="4"/>
        </w:numPr>
        <w:spacing w:line="360" w:after="210" w:lineRule="auto"/>
      </w:pPr>
      <w:hyperlink r:id="rId9">
        <w:r>
          <w:rPr>
            <w:rFonts w:eastAsia="inter" w:cs="inter" w:ascii="inter" w:hAnsi="inter"/>
            <w:color w:val="#000"/>
            <w:sz w:val="18"/>
            <w:u w:val="single"/>
          </w:rPr>
          <w:t xml:space="preserve">https://www.jera.co.jp/en/sustainability/environment/waste/coal-ash</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7" w:name="fn5"/>
    <w:bookmarkEnd w:id="27"/>
    <w:p>
      <w:pPr>
        <w:numPr>
          <w:ilvl w:val="0"/>
          <w:numId w:val="4"/>
        </w:numPr>
        <w:spacing w:line="360" w:after="210" w:lineRule="auto"/>
      </w:pPr>
      <w:hyperlink r:id="rId10">
        <w:r>
          <w:rPr>
            <w:rFonts w:eastAsia="inter" w:cs="inter" w:ascii="inter" w:hAnsi="inter"/>
            <w:color w:val="#000"/>
            <w:sz w:val="18"/>
            <w:u w:val="single"/>
          </w:rPr>
          <w:t xml:space="preserve">https://www.taxtmi.com/article/detailed?id=14197</w:t>
        </w:r>
      </w:hyperlink>
      <w:r>
        <w:rPr>
          <w:rFonts w:eastAsia="inter" w:cs="inter" w:ascii="inter" w:hAnsi="inter"/>
          <w:color w:val="000000"/>
          <w:sz w:val="18"/>
        </w:rPr>
        <w:t xml:space="preserve"> </w:t>
      </w:r>
    </w:p>
    <w:bookmarkStart w:id="28" w:name="fn6"/>
    <w:bookmarkEnd w:id="28"/>
    <w:p>
      <w:pPr>
        <w:numPr>
          <w:ilvl w:val="0"/>
          <w:numId w:val="4"/>
        </w:numPr>
        <w:spacing w:line="360" w:after="210" w:lineRule="auto"/>
      </w:pPr>
      <w:hyperlink r:id="rId11">
        <w:r>
          <w:rPr>
            <w:rFonts w:eastAsia="inter" w:cs="inter" w:ascii="inter" w:hAnsi="inter"/>
            <w:color w:val="#000"/>
            <w:sz w:val="18"/>
            <w:u w:val="single"/>
          </w:rPr>
          <w:t xml:space="preserve">https://solidwaste.alpapowder.com/process-for-extracting-aluminum-oxide-from-fly-ash/</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9" w:name="fn7"/>
    <w:bookmarkEnd w:id="29"/>
    <w:p>
      <w:pPr>
        <w:numPr>
          <w:ilvl w:val="0"/>
          <w:numId w:val="4"/>
        </w:numPr>
        <w:spacing w:line="360" w:after="210" w:lineRule="auto"/>
      </w:pPr>
      <w:hyperlink r:id="rId12">
        <w:r>
          <w:rPr>
            <w:rFonts w:eastAsia="inter" w:cs="inter" w:ascii="inter" w:hAnsi="inter"/>
            <w:color w:val="#000"/>
            <w:sz w:val="18"/>
            <w:u w:val="single"/>
          </w:rPr>
          <w:t xml:space="preserve">https://ijsra.net/sites/default/files/IJSRA-2024-0495.pdf</w:t>
        </w:r>
      </w:hyperlink>
      <w:r>
        <w:rPr>
          <w:rFonts w:eastAsia="inter" w:cs="inter" w:ascii="inter" w:hAnsi="inter"/>
          <w:color w:val="000000"/>
          <w:sz w:val="18"/>
        </w:rPr>
        <w:t xml:space="preserve"> </w:t>
      </w:r>
    </w:p>
    <w:bookmarkStart w:id="30" w:name="fn8"/>
    <w:bookmarkEnd w:id="30"/>
    <w:p>
      <w:pPr>
        <w:numPr>
          <w:ilvl w:val="0"/>
          <w:numId w:val="4"/>
        </w:numPr>
        <w:spacing w:line="360" w:after="210" w:lineRule="auto"/>
      </w:pPr>
      <w:hyperlink r:id="rId13">
        <w:r>
          <w:rPr>
            <w:rFonts w:eastAsia="inter" w:cs="inter" w:ascii="inter" w:hAnsi="inter"/>
            <w:color w:val="#000"/>
            <w:sz w:val="18"/>
            <w:u w:val="single"/>
          </w:rPr>
          <w:t xml:space="preserve">https://patents.google.com/patent/US4243640A/en</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31" w:name="fn9"/>
    <w:bookmarkEnd w:id="31"/>
    <w:p>
      <w:pPr>
        <w:numPr>
          <w:ilvl w:val="0"/>
          <w:numId w:val="4"/>
        </w:numPr>
        <w:spacing w:line="360" w:after="210" w:lineRule="auto"/>
      </w:pPr>
      <w:hyperlink r:id="rId14">
        <w:r>
          <w:rPr>
            <w:rFonts w:eastAsia="inter" w:cs="inter" w:ascii="inter" w:hAnsi="inter"/>
            <w:color w:val="#000"/>
            <w:sz w:val="18"/>
            <w:u w:val="single"/>
          </w:rPr>
          <w:t xml:space="preserve">https://www.cetjournal.it/cet/22/94/109.pdf</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32" w:name="fn10"/>
    <w:bookmarkEnd w:id="32"/>
    <w:p>
      <w:pPr>
        <w:numPr>
          <w:ilvl w:val="0"/>
          <w:numId w:val="4"/>
        </w:numPr>
        <w:spacing w:line="360" w:after="210" w:lineRule="auto"/>
      </w:pPr>
      <w:hyperlink r:id="rId15">
        <w:r>
          <w:rPr>
            <w:rFonts w:eastAsia="inter" w:cs="inter" w:ascii="inter" w:hAnsi="inter"/>
            <w:color w:val="#000"/>
            <w:sz w:val="18"/>
            <w:u w:val="single"/>
          </w:rPr>
          <w:t xml:space="preserve">https://www.sciencedirect.com/science/article/abs/pii/S0959652619333402</w:t>
        </w:r>
      </w:hyperlink>
      <w:r>
        <w:rPr>
          <w:rFonts w:eastAsia="inter" w:cs="inter" w:ascii="inter" w:hAnsi="inter"/>
          <w:color w:val="000000"/>
          <w:sz w:val="18"/>
        </w:rPr>
        <w:t xml:space="preserve"> </w:t>
      </w:r>
    </w:p>
    <w:bookmarkStart w:id="33" w:name="fn11"/>
    <w:bookmarkEnd w:id="33"/>
    <w:p>
      <w:pPr>
        <w:numPr>
          <w:ilvl w:val="0"/>
          <w:numId w:val="4"/>
        </w:numPr>
        <w:spacing w:line="360" w:after="210" w:lineRule="auto"/>
      </w:pPr>
      <w:hyperlink r:id="rId16">
        <w:r>
          <w:rPr>
            <w:rFonts w:eastAsia="inter" w:cs="inter" w:ascii="inter" w:hAnsi="inter"/>
            <w:color w:val="#000"/>
            <w:sz w:val="18"/>
            <w:u w:val="single"/>
          </w:rPr>
          <w:t xml:space="preserve">https://pmc.ncbi.nlm.nih.gov/articles/PMC9988373/</w:t>
        </w:r>
      </w:hyperlink>
      <w:r>
        <w:rPr>
          <w:rFonts w:eastAsia="inter" w:cs="inter" w:ascii="inter" w:hAnsi="inter"/>
          <w:color w:val="000000"/>
          <w:sz w:val="18"/>
        </w:rPr>
        <w:t xml:space="preserve"> </w:t>
      </w:r>
    </w:p>
    <w:bookmarkStart w:id="34" w:name="fn12"/>
    <w:bookmarkEnd w:id="34"/>
    <w:p>
      <w:pPr>
        <w:numPr>
          <w:ilvl w:val="0"/>
          <w:numId w:val="4"/>
        </w:numPr>
        <w:spacing w:line="360" w:after="210" w:lineRule="auto"/>
      </w:pPr>
      <w:hyperlink r:id="rId17">
        <w:r>
          <w:rPr>
            <w:rFonts w:eastAsia="inter" w:cs="inter" w:ascii="inter" w:hAnsi="inter"/>
            <w:color w:val="#000"/>
            <w:sz w:val="18"/>
            <w:u w:val="single"/>
          </w:rPr>
          <w:t xml:space="preserve">https://www.sciencedirect.com/science/article/abs/pii/S0378382023000504</w:t>
        </w:r>
      </w:hyperlink>
      <w:r>
        <w:rPr>
          <w:rFonts w:eastAsia="inter" w:cs="inter" w:ascii="inter" w:hAnsi="inter"/>
          <w:color w:val="000000"/>
          <w:sz w:val="18"/>
        </w:rPr>
        <w:t xml:space="preserve"> </w:t>
      </w:r>
    </w:p>
    <w:bookmarkStart w:id="35" w:name="fn13"/>
    <w:bookmarkEnd w:id="35"/>
    <w:p>
      <w:pPr>
        <w:numPr>
          <w:ilvl w:val="0"/>
          <w:numId w:val="4"/>
        </w:numPr>
        <w:spacing w:line="360" w:after="210" w:lineRule="auto"/>
      </w:pPr>
      <w:hyperlink r:id="rId18">
        <w:r>
          <w:rPr>
            <w:rFonts w:eastAsia="inter" w:cs="inter" w:ascii="inter" w:hAnsi="inter"/>
            <w:color w:val="#000"/>
            <w:sz w:val="18"/>
            <w:u w:val="single"/>
          </w:rPr>
          <w:t xml:space="preserve">https://www.sciencedirect.com/science/article/pii/S2352710223010641</w:t>
        </w:r>
      </w:hyperlink>
      <w:r>
        <w:rPr>
          <w:rFonts w:eastAsia="inter" w:cs="inter" w:ascii="inter" w:hAnsi="inter"/>
          <w:color w:val="000000"/>
          <w:sz w:val="18"/>
        </w:rPr>
        <w:t xml:space="preserve"> </w:t>
      </w:r>
    </w:p>
    <w:bookmarkStart w:id="36" w:name="fn14"/>
    <w:bookmarkEnd w:id="36"/>
    <w:p>
      <w:pPr>
        <w:numPr>
          <w:ilvl w:val="0"/>
          <w:numId w:val="4"/>
        </w:numPr>
        <w:spacing w:line="360" w:after="210" w:lineRule="auto"/>
      </w:pPr>
      <w:hyperlink r:id="rId19">
        <w:r>
          <w:rPr>
            <w:rFonts w:eastAsia="inter" w:cs="inter" w:ascii="inter" w:hAnsi="inter"/>
            <w:color w:val="#000"/>
            <w:sz w:val="18"/>
            <w:u w:val="single"/>
          </w:rPr>
          <w:t xml:space="preserve">https://www.sciencedirect.com/science/article/abs/pii/S0301479725016512</w:t>
        </w:r>
      </w:hyperlink>
      <w:r>
        <w:rPr>
          <w:rFonts w:eastAsia="inter" w:cs="inter" w:ascii="inter" w:hAnsi="inter"/>
          <w:color w:val="000000"/>
          <w:sz w:val="18"/>
        </w:rPr>
        <w:t xml:space="preserve"> </w:t>
      </w:r>
    </w:p>
    <w:bookmarkStart w:id="37" w:name="fn15"/>
    <w:bookmarkEnd w:id="37"/>
    <w:p>
      <w:pPr>
        <w:numPr>
          <w:ilvl w:val="0"/>
          <w:numId w:val="4"/>
        </w:numPr>
        <w:spacing w:line="360" w:after="210" w:lineRule="auto"/>
      </w:pPr>
      <w:hyperlink r:id="rId20">
        <w:r>
          <w:rPr>
            <w:rFonts w:eastAsia="inter" w:cs="inter" w:ascii="inter" w:hAnsi="inter"/>
            <w:color w:val="#000"/>
            <w:sz w:val="18"/>
            <w:u w:val="single"/>
          </w:rPr>
          <w:t xml:space="preserve">https://www.epa.gov/coalash/coal-combustion-residuals-ccr-basics</w:t>
        </w:r>
      </w:hyperlink>
      <w:r>
        <w:rPr>
          <w:rFonts w:eastAsia="inter" w:cs="inter" w:ascii="inter" w:hAnsi="inter"/>
          <w:color w:val="000000"/>
          <w:sz w:val="18"/>
        </w:rPr>
        <w:t xml:space="preserve"> </w:t>
      </w:r>
    </w:p>
    <w:bookmarkStart w:id="38" w:name="fn16"/>
    <w:bookmarkEnd w:id="38"/>
    <w:p>
      <w:pPr>
        <w:numPr>
          <w:ilvl w:val="0"/>
          <w:numId w:val="4"/>
        </w:numPr>
        <w:spacing w:line="360" w:after="210" w:lineRule="auto"/>
      </w:pPr>
      <w:hyperlink r:id="rId21">
        <w:r>
          <w:rPr>
            <w:rFonts w:eastAsia="inter" w:cs="inter" w:ascii="inter" w:hAnsi="inter"/>
            <w:color w:val="#000"/>
            <w:sz w:val="18"/>
            <w:u w:val="single"/>
          </w:rPr>
          <w:t xml:space="preserve">https://www.sustainable-carbon.org/report/acheiving-100-ash-utilisation-at-coal-fired-power-plants-in-india/</w:t>
        </w:r>
      </w:hyperlink>
      <w:r>
        <w:rPr>
          <w:rFonts w:eastAsia="inter" w:cs="inter" w:ascii="inter" w:hAnsi="inter"/>
          <w:color w:val="000000"/>
          <w:sz w:val="18"/>
        </w:rPr>
        <w:t xml:space="preserve"> </w:t>
      </w:r>
    </w:p>
    <w:bookmarkStart w:id="39" w:name="fn17"/>
    <w:bookmarkEnd w:id="39"/>
    <w:p>
      <w:pPr>
        <w:numPr>
          <w:ilvl w:val="0"/>
          <w:numId w:val="4"/>
        </w:numPr>
        <w:spacing w:line="360" w:after="210" w:lineRule="auto"/>
      </w:pPr>
      <w:hyperlink r:id="rId22">
        <w:r>
          <w:rPr>
            <w:rFonts w:eastAsia="inter" w:cs="inter" w:ascii="inter" w:hAnsi="inter"/>
            <w:color w:val="#000"/>
            <w:sz w:val="18"/>
            <w:u w:val="single"/>
          </w:rPr>
          <w:t xml:space="preserve">https://www.epa.gov/radiation/tenorm-bauxite-and-alumina-production-wastes</w:t>
        </w:r>
      </w:hyperlink>
      <w:r>
        <w:rPr>
          <w:rFonts w:eastAsia="inter" w:cs="inter" w:ascii="inter" w:hAnsi="inter"/>
          <w:color w:val="000000"/>
          <w:sz w:val="18"/>
        </w:rPr>
        <w:t xml:space="preserve"> </w:t>
      </w:r>
    </w:p>
    <w:bookmarkStart w:id="40" w:name="fn18"/>
    <w:bookmarkEnd w:id="40"/>
    <w:p>
      <w:pPr>
        <w:numPr>
          <w:ilvl w:val="0"/>
          <w:numId w:val="4"/>
        </w:numPr>
        <w:spacing w:line="360" w:after="210" w:lineRule="auto"/>
      </w:pPr>
      <w:hyperlink r:id="rId23">
        <w:r>
          <w:rPr>
            <w:rFonts w:eastAsia="inter" w:cs="inter" w:ascii="inter" w:hAnsi="inter"/>
            <w:color w:val="#000"/>
            <w:sz w:val="18"/>
            <w:u w:val="single"/>
          </w:rPr>
          <w:t xml:space="preserve">https://www.sciencedirect.com/science/article/pii/S0883292724001859</w:t>
        </w:r>
      </w:hyperlink>
      <w:r>
        <w:rPr>
          <w:rFonts w:eastAsia="inter" w:cs="inter" w:ascii="inter" w:hAnsi="inter"/>
          <w:color w:val="000000"/>
          <w:sz w:val="18"/>
        </w:rPr>
        <w:t xml:space="preserve"> </w:t>
      </w:r>
    </w:p>
    <w:bookmarkStart w:id="41" w:name="fn19"/>
    <w:bookmarkEnd w:id="41"/>
    <w:p>
      <w:pPr>
        <w:numPr>
          <w:ilvl w:val="0"/>
          <w:numId w:val="4"/>
        </w:numPr>
        <w:spacing w:line="360" w:after="210" w:lineRule="auto"/>
      </w:pPr>
      <w:hyperlink r:id="rId24">
        <w:r>
          <w:rPr>
            <w:rFonts w:eastAsia="inter" w:cs="inter" w:ascii="inter" w:hAnsi="inter"/>
            <w:color w:val="#000"/>
            <w:sz w:val="18"/>
            <w:u w:val="single"/>
          </w:rPr>
          <w:t xml:space="preserve">https://www.sciencedirect.com/science/article/abs/pii/S0959652621033606</w:t>
        </w:r>
      </w:hyperlink>
      <w:r>
        <w:rPr>
          <w:rFonts w:eastAsia="inter" w:cs="inter" w:ascii="inter" w:hAnsi="inter"/>
          <w:color w:val="000000"/>
          <w:sz w:val="18"/>
        </w:rPr>
        <w:t xml:space="preserve"> </w:t>
      </w:r>
    </w:p>
    <w:bookmarkStart w:id="42" w:name="fn20"/>
    <w:bookmarkEnd w:id="42"/>
    <w:p>
      <w:pPr>
        <w:numPr>
          <w:ilvl w:val="0"/>
          <w:numId w:val="4"/>
        </w:numPr>
        <w:spacing w:line="360" w:after="210" w:lineRule="auto"/>
      </w:pPr>
      <w:hyperlink r:id="rId25">
        <w:r>
          <w:rPr>
            <w:rFonts w:eastAsia="inter" w:cs="inter" w:ascii="inter" w:hAnsi="inter"/>
            <w:color w:val="#000"/>
            <w:sz w:val="18"/>
            <w:u w:val="single"/>
          </w:rPr>
          <w:t xml:space="preserve">https://en.wikipedia.org/wiki/Coal_combustion_products</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decimal"/>
      <w:lvlText w:val="%1."/>
      <w:lvlJc w:val="left"/>
      <w:pPr>
        <w:tabs>
          <w:tab w:val="num" w:pos="900"/>
        </w:tabs>
        <w:ind w:left="540" w:hanging="360"/>
      </w:pPr>
    </w:lvl>
  </w:abstractNum>
  <w:abstractNum w:abstractNumId="3">
    <w:multiLevelType w:val="hybridMultilevel"/>
  </w:abstractNum>
  <w:abstractNum w:abstractNumId="4">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5f6ba7221d7ae25df2f8996cc10efd560427905c.png" TargetMode="Internal"/><Relationship Id="rId6" Type="http://schemas.openxmlformats.org/officeDocument/2006/relationships/hyperlink" Target="https://pmc.ncbi.nlm.nih.gov/articles/PMC8707349/" TargetMode="External"/><Relationship Id="rId7" Type="http://schemas.openxmlformats.org/officeDocument/2006/relationships/hyperlink" Target="https://pmc.ncbi.nlm.nih.gov/articles/PMC11324987/" TargetMode="External"/><Relationship Id="rId8" Type="http://schemas.openxmlformats.org/officeDocument/2006/relationships/hyperlink" Target="https://pubs.rsc.org/en/content/articlelanding/2022/ra/d2ra06658k" TargetMode="External"/><Relationship Id="rId9" Type="http://schemas.openxmlformats.org/officeDocument/2006/relationships/hyperlink" Target="https://www.jera.co.jp/en/sustainability/environment/waste/coal-ash" TargetMode="External"/><Relationship Id="rId10" Type="http://schemas.openxmlformats.org/officeDocument/2006/relationships/hyperlink" Target="https://www.taxtmi.com/article/detailed?id=14197" TargetMode="External"/><Relationship Id="rId11" Type="http://schemas.openxmlformats.org/officeDocument/2006/relationships/hyperlink" Target="https://solidwaste.alpapowder.com/process-for-extracting-aluminum-oxide-from-fly-ash/" TargetMode="External"/><Relationship Id="rId12" Type="http://schemas.openxmlformats.org/officeDocument/2006/relationships/hyperlink" Target="https://ijsra.net/sites/default/files/IJSRA-2024-0495.pdf" TargetMode="External"/><Relationship Id="rId13" Type="http://schemas.openxmlformats.org/officeDocument/2006/relationships/hyperlink" Target="https://patents.google.com/patent/US4243640A/en" TargetMode="External"/><Relationship Id="rId14" Type="http://schemas.openxmlformats.org/officeDocument/2006/relationships/hyperlink" Target="https://www.cetjournal.it/cet/22/94/109.pdf" TargetMode="External"/><Relationship Id="rId15" Type="http://schemas.openxmlformats.org/officeDocument/2006/relationships/hyperlink" Target="https://www.sciencedirect.com/science/article/abs/pii/S0959652619333402" TargetMode="External"/><Relationship Id="rId16" Type="http://schemas.openxmlformats.org/officeDocument/2006/relationships/hyperlink" Target="https://pmc.ncbi.nlm.nih.gov/articles/PMC9988373/" TargetMode="External"/><Relationship Id="rId17" Type="http://schemas.openxmlformats.org/officeDocument/2006/relationships/hyperlink" Target="https://www.sciencedirect.com/science/article/abs/pii/S0378382023000504" TargetMode="External"/><Relationship Id="rId18" Type="http://schemas.openxmlformats.org/officeDocument/2006/relationships/hyperlink" Target="https://www.sciencedirect.com/science/article/pii/S2352710223010641" TargetMode="External"/><Relationship Id="rId19" Type="http://schemas.openxmlformats.org/officeDocument/2006/relationships/hyperlink" Target="https://www.sciencedirect.com/science/article/abs/pii/S0301479725016512" TargetMode="External"/><Relationship Id="rId20" Type="http://schemas.openxmlformats.org/officeDocument/2006/relationships/hyperlink" Target="https://www.epa.gov/coalash/coal-combustion-residuals-ccr-basics" TargetMode="External"/><Relationship Id="rId21" Type="http://schemas.openxmlformats.org/officeDocument/2006/relationships/hyperlink" Target="https://www.sustainable-carbon.org/report/acheiving-100-ash-utilisation-at-coal-fired-power-plants-in-india/" TargetMode="External"/><Relationship Id="rId22" Type="http://schemas.openxmlformats.org/officeDocument/2006/relationships/hyperlink" Target="https://www.epa.gov/radiation/tenorm-bauxite-and-alumina-production-wastes" TargetMode="External"/><Relationship Id="rId23" Type="http://schemas.openxmlformats.org/officeDocument/2006/relationships/hyperlink" Target="https://www.sciencedirect.com/science/article/pii/S0883292724001859" TargetMode="External"/><Relationship Id="rId24" Type="http://schemas.openxmlformats.org/officeDocument/2006/relationships/hyperlink" Target="https://www.sciencedirect.com/science/article/abs/pii/S0959652621033606" TargetMode="External"/><Relationship Id="rId25" Type="http://schemas.openxmlformats.org/officeDocument/2006/relationships/hyperlink" Target="https://en.wikipedia.org/wiki/Coal_combustion_products"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2025-09-04T18:11:37.218Z</dcterms:created>
  <dcterms:modified xsi:type="dcterms:W3CDTF">2025-09-04T18:11:37.218Z</dcterms:modified>
</cp:coreProperties>
</file>