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4C6826" w14:textId="77777777" w:rsidR="00CD4991" w:rsidRPr="00CD4991" w:rsidRDefault="00CD4991" w:rsidP="00CD4991">
      <w:pPr>
        <w:rPr>
          <w:b/>
          <w:bCs/>
        </w:rPr>
      </w:pPr>
      <w:r w:rsidRPr="00CD4991">
        <w:rPr>
          <w:b/>
          <w:bCs/>
        </w:rPr>
        <w:t>Algorithmische Alpha-Generierung: Eine synergetische Analyse von Mustererkennung, Marktregime-Klassifikation und Neuro-Symbolischer KI-Integration</w:t>
      </w:r>
    </w:p>
    <w:p w14:paraId="1C4479DC" w14:textId="77777777" w:rsidR="00CD4991" w:rsidRPr="00CD4991" w:rsidRDefault="00CD4991" w:rsidP="00CD4991">
      <w:pPr>
        <w:rPr>
          <w:b/>
          <w:bCs/>
        </w:rPr>
      </w:pPr>
      <w:r w:rsidRPr="00CD4991">
        <w:rPr>
          <w:b/>
          <w:bCs/>
        </w:rPr>
        <w:t>1. Epistemologische Grundlagen und Einführung in die moderne algorithmische Marktanalyse</w:t>
      </w:r>
    </w:p>
    <w:p w14:paraId="0A03B0A9" w14:textId="77777777" w:rsidR="00CD4991" w:rsidRPr="00CD4991" w:rsidRDefault="00CD4991" w:rsidP="00CD4991">
      <w:r w:rsidRPr="00CD4991">
        <w:t xml:space="preserve">Die Finanzmärkte stellen komplexe, adaptive Systeme dar, deren Dynamik durch eine Vielzahl interagierender Agenten, stochastischer Prozesse und makroökonomischer Exogenitäten bestimmt wird. In der historischen Entwicklung der Marktanalyse lässt sich eine fundamentale Dichotomie beobachten, die das Feld über Jahrzehnte prägte: Auf der einen Seite steht die Fundamentalanalyse, die den intrinsischen Wert von Vermögenswerten auf der Basis ökonomischer Daten zu bestimmen sucht, und auf der anderen Seite die Technische Analyse (TA), die sich ausschließlich auf die historische Preis- und Volumenentwicklung konzentriert, um zukünftige Kursbewegungen zu antizipieren. Diese Disziplin wurde in der akademischen Finanzwissenschaft lange Zeit marginalisiert und oft in die Nähe der Esoterik gerückt. Burton Malkiel, ein prominenter Vertreter der Effizienzmarkthypothese (EMH), stellte in seinem einflussreichen Werk </w:t>
      </w:r>
      <w:r w:rsidRPr="00CD4991">
        <w:rPr>
          <w:i/>
          <w:iCs/>
        </w:rPr>
        <w:t>A Random Walk Down Wall Street</w:t>
      </w:r>
      <w:r w:rsidRPr="00CD4991">
        <w:t xml:space="preserve"> polemisch fest, dass die technische Analyse unter wissenschaftlicher Betrachtung das Podest mit der Alchemie teilen müsse.</w:t>
      </w:r>
      <w:r w:rsidRPr="00CD4991">
        <w:rPr>
          <w:vertAlign w:val="superscript"/>
        </w:rPr>
        <w:t>1</w:t>
      </w:r>
      <w:r w:rsidRPr="00CD4991">
        <w:t xml:space="preserve"> Die akademische Skepsis basierte primär auf der Annahme, dass in effizienten Märkten alle verfügbaren Informationen, einschließlich historischer Preismuster, bereits im aktuellen Kurs verarbeitet sind und somit keine systematischen Überrenditen (Alpha) erzielt werden können.</w:t>
      </w:r>
    </w:p>
    <w:p w14:paraId="4A9CFEAA" w14:textId="77777777" w:rsidR="00CD4991" w:rsidRPr="00CD4991" w:rsidRDefault="00CD4991" w:rsidP="00CD4991">
      <w:r w:rsidRPr="00CD4991">
        <w:t xml:space="preserve">Dennoch besteht eine eklatante Diskrepanz zwischen dieser akademischen Ablehnung und der weitverbreiteten Anwendung technischer Analysemethoden in der Praxis des institutionellen Handels. Diese Kluft begann sich erst um die Jahrtausendwende zu schließen, als Pioniere der quantitativen Finanzforschung wie Andrew Lo, Harry Mamaysky und Jiang Wang begannen, die subjektiven Heuristiken der Chartanalyse durch rigorose mathematische Verfahren zu formalisieren. In ihrer wegweisenden Arbeit </w:t>
      </w:r>
      <w:r w:rsidRPr="00CD4991">
        <w:rPr>
          <w:i/>
          <w:iCs/>
        </w:rPr>
        <w:t>Foundations of Technical Analysis</w:t>
      </w:r>
      <w:r w:rsidRPr="00CD4991">
        <w:t xml:space="preserve"> demonstrierten sie, dass technische Indikatoren durch nichtparametrische Kernregression (Kernel Regression) objektiviert werden können und statistisch signifikante Informationen enthalten, die über den reinen Zufallsprozess hinausgehen.</w:t>
      </w:r>
      <w:r w:rsidRPr="00CD4991">
        <w:rPr>
          <w:vertAlign w:val="superscript"/>
        </w:rPr>
        <w:t>1</w:t>
      </w:r>
      <w:r w:rsidRPr="00CD4991">
        <w:t xml:space="preserve"> Dieser epistemologische Wandel markiert den Übergang von der "visuellen Kunst" der Chartinterpretation zur "algorithmischen Wissenschaft" der Mustererkennung.</w:t>
      </w:r>
    </w:p>
    <w:p w14:paraId="03E28D3D" w14:textId="77777777" w:rsidR="00CD4991" w:rsidRPr="00CD4991" w:rsidRDefault="00CD4991" w:rsidP="00CD4991">
      <w:r w:rsidRPr="00CD4991">
        <w:t xml:space="preserve">Der vorliegende Bericht untersucht die Konvergenz dreier technologischer Megatrends, die das Potenzial haben, die Alpha-Generierung in modernen Handelssystemen grundlegend zu transformieren: die algorithmische Mustererkennung (Pattern Scan), die dynamische Marktregime-Erkennung (Regime Detection) und die Integration künstlicher Intelligenz (KI) in Form von Large Language Models (LLMs) und Neuro-Symbolischen Systemen. Die zentrale These dieser Untersuchung lautet, dass isolierte technische </w:t>
      </w:r>
      <w:r w:rsidRPr="00CD4991">
        <w:lastRenderedPageBreak/>
        <w:t>Indikatoren oder Chartmuster aufgrund mangelnder Robustheit in volatilen Märkten versagen, während eine synergetische Integration dieser Elemente – gesteuert durch KI-basierte Regime-Filter und Meta-Labeling – signifikante und statistisch belastbare Überrenditen generieren kann.</w:t>
      </w:r>
    </w:p>
    <w:p w14:paraId="25510998" w14:textId="77777777" w:rsidR="00CD4991" w:rsidRPr="00CD4991" w:rsidRDefault="00CD4991" w:rsidP="00CD4991">
      <w:r w:rsidRPr="00CD4991">
        <w:t>Die Notwendigkeit einer solchen integrierten Betrachtung ergibt sich aus der Beobachtung, dass statische Strategien oft an der Nichtstationarität von Finanzzeitreihen scheitern. Ein Algorithmus, der in einem Bullenmarkt hervorragende Ergebnisse liefert, kann in einer Seitwärtsphase (Range-Bound Market) aufgrund von Fehlsignalen (Whipsaws) das gesamte akkumulierte Kapital vernichten. Die Lösung liegt nicht in der Suche nach dem "perfekten" Indikator, sondern in der Entwicklung adaptiver Systeme, die den Marktkontext verstehen. Hierbei spielen Hidden Markov Modelle (HMM) und Clustering-Verfahren eine entscheidende Rolle, um latente Marktzustände zu identifizieren und die Handelslogik entsprechend anzupassen.</w:t>
      </w:r>
      <w:r w:rsidRPr="00CD4991">
        <w:rPr>
          <w:vertAlign w:val="superscript"/>
        </w:rPr>
        <w:t>2</w:t>
      </w:r>
    </w:p>
    <w:p w14:paraId="30E9DB0B" w14:textId="77777777" w:rsidR="00CD4991" w:rsidRPr="00CD4991" w:rsidRDefault="00CD4991" w:rsidP="00CD4991">
      <w:r w:rsidRPr="00CD4991">
        <w:t>Gleichzeitig eröffnet die jüngste Entwicklung im Bereich der Generativen KI völlig neue Möglichkeiten der Signalvalidierung. LLMs sind nicht mehr nur Werkzeuge der Sprachverarbeitung, sondern können durch multimodale Fähigkeiten komplexe visuelle Chartformationen interpretieren und mit unstrukturierten Datenquellen wie Nachrichten oder Earnings Calls korrelieren.</w:t>
      </w:r>
      <w:r w:rsidRPr="00CD4991">
        <w:rPr>
          <w:vertAlign w:val="superscript"/>
        </w:rPr>
        <w:t>4</w:t>
      </w:r>
      <w:r w:rsidRPr="00CD4991">
        <w:t xml:space="preserve"> Doch diese neuen Technologien bringen auch neue Risiken mit sich, insbesondere das Phänomen der "Halluzination" bei numerischen Aufgaben, was die Implementierung robuster Validierungsmechanismen wie "Function Calling" und neuro-symbolischer Constraints erforderlich macht.</w:t>
      </w:r>
      <w:r w:rsidRPr="00CD4991">
        <w:rPr>
          <w:vertAlign w:val="superscript"/>
        </w:rPr>
        <w:t>5</w:t>
      </w:r>
    </w:p>
    <w:p w14:paraId="16851223" w14:textId="77777777" w:rsidR="00CD4991" w:rsidRPr="00CD4991" w:rsidRDefault="00CD4991" w:rsidP="00CD4991">
      <w:r w:rsidRPr="00CD4991">
        <w:t>Dieser Bericht wird diese Komponenten detailliert analysieren, beginnend mit der Mathematisierung klassischer Chartmuster, über die statistischen Verfahren der Regime-Erkennung, bis hin zu den fortschrittlichsten Methoden der Signal-Optimierung durch Meta-Labeling. Ziel ist es, ein umfassendes Framework für die Entwicklung robuster, KI-gestützter Handelssysteme bereitzustellen, das sowohl theoretisch fundiert als auch praktisch implementierbar ist.</w:t>
      </w:r>
    </w:p>
    <w:p w14:paraId="0A1573BA" w14:textId="77777777" w:rsidR="00CD4991" w:rsidRPr="00CD4991" w:rsidRDefault="00CD4991" w:rsidP="00CD4991">
      <w:r w:rsidRPr="00CD4991">
        <w:pict w14:anchorId="6E196F23">
          <v:rect id="_x0000_i1061" style="width:0;height:1.5pt" o:hralign="center" o:hrstd="t" o:hrnoshade="t" o:hr="t" fillcolor="gray" stroked="f"/>
        </w:pict>
      </w:r>
    </w:p>
    <w:p w14:paraId="74056415" w14:textId="77777777" w:rsidR="00CD4991" w:rsidRPr="00CD4991" w:rsidRDefault="00CD4991" w:rsidP="00CD4991">
      <w:pPr>
        <w:rPr>
          <w:b/>
          <w:bCs/>
        </w:rPr>
      </w:pPr>
      <w:r w:rsidRPr="00CD4991">
        <w:rPr>
          <w:b/>
          <w:bCs/>
        </w:rPr>
        <w:t>2. Algorithmische Mustererkennung: Von der Heuristik zur Stochastik</w:t>
      </w:r>
    </w:p>
    <w:p w14:paraId="0DDD7EB4" w14:textId="77777777" w:rsidR="00CD4991" w:rsidRPr="00CD4991" w:rsidRDefault="00CD4991" w:rsidP="00CD4991">
      <w:r w:rsidRPr="00CD4991">
        <w:t>Die Identifikation geometrischer Preismuster ist eine der ältesten Disziplinen der Marktanalyse. Traditionell war dies ein manueller Prozess, bei dem Analysten visuell nach Formationen wie "Kopf-Schulter" oder "Dreiecken" suchten. Die Hauptkritik an diesem Ansatz war stets seine Subjektivität: Die Präsenz eines Musters lag oft im Auge des Betrachters, was eine wissenschaftliche Überprüfung unmöglich machte. Die moderne algorithmische Analyse eliminiert diese Subjektivität durch mathematische Formalisierung und ermöglicht so Backtests auf großen Datensätzen.</w:t>
      </w:r>
    </w:p>
    <w:p w14:paraId="055289A6" w14:textId="77777777" w:rsidR="00CD4991" w:rsidRPr="00CD4991" w:rsidRDefault="00CD4991" w:rsidP="00CD4991">
      <w:pPr>
        <w:rPr>
          <w:b/>
          <w:bCs/>
        </w:rPr>
      </w:pPr>
      <w:r w:rsidRPr="00CD4991">
        <w:rPr>
          <w:b/>
          <w:bCs/>
        </w:rPr>
        <w:t>2.1. Systematisierung und statistische Validierung klassischer Muster</w:t>
      </w:r>
    </w:p>
    <w:p w14:paraId="4A775901" w14:textId="77777777" w:rsidR="00CD4991" w:rsidRPr="00CD4991" w:rsidRDefault="00CD4991" w:rsidP="00CD4991">
      <w:r w:rsidRPr="00CD4991">
        <w:lastRenderedPageBreak/>
        <w:t>Die akademische Aufarbeitung der technischen Analyse hat gezeigt, dass bestimmte Muster tatsächlich inkrementelle Informationen enthalten. Der Schlüssel zur Automatisierung liegt in der Glättung von Preisdaten, um das "Rauschen" vom "Signal" zu trennen. Lo et al. (2000) nutzten hierfür die nichtparametrische Kernregression (Kernel Regression), um lokale Extrema (Minima und Maxima) in Zeitreihen zu identifizieren. Ein Muster wird dann durch eine spezifische Sequenz dieser Extrema definiert. Beispielsweise lässt sich eine Kopf-Schulter-Formation (Head-and-Shoulders) als eine Folge von drei lokalen Maxima definieren, bei denen das mittlere Maximum höher ist als die beiden äußeren, und die durch zwei lokale Minima getrennt sind.</w:t>
      </w:r>
      <w:r w:rsidRPr="00CD4991">
        <w:rPr>
          <w:vertAlign w:val="superscript"/>
        </w:rPr>
        <w:t>1</w:t>
      </w:r>
    </w:p>
    <w:p w14:paraId="5F9E61F0" w14:textId="77777777" w:rsidR="00CD4991" w:rsidRPr="00CD4991" w:rsidRDefault="00CD4991" w:rsidP="00CD4991">
      <w:pPr>
        <w:rPr>
          <w:b/>
          <w:bCs/>
        </w:rPr>
      </w:pPr>
      <w:r w:rsidRPr="00CD4991">
        <w:rPr>
          <w:b/>
          <w:bCs/>
        </w:rPr>
        <w:t>2.1.1. Candlestick-Muster und ihre Vorhersagekraft</w:t>
      </w:r>
    </w:p>
    <w:p w14:paraId="5A202793" w14:textId="77777777" w:rsidR="00CD4991" w:rsidRPr="00CD4991" w:rsidRDefault="00CD4991" w:rsidP="00CD4991">
      <w:r w:rsidRPr="00CD4991">
        <w:t>Neben komplexen geometrischen Mustern spielen japanische Candlestick-Muster eine zentrale Rolle im kurzfristigen Trading. Diese basieren auf den Beziehungen zwischen Eröffnungs-, Hoch-, Tief- und Schlusskursen (OHLC) einer einzelnen oder einer kleinen Gruppe von Handelsperioden. Untersuchungen an verschiedenen Märkten, darunter der S&amp;P 500 und chinesische Aktienmärkte, haben gezeigt, dass Candlestick-Muster prädiktiven Wert besitzen, insbesondere Umkehrmuster (Reversal Patterns). Caginalp und Laurent fanden bereits in den 1990er Jahren starke Evidenz für die Vorhersagekraft solcher Muster.</w:t>
      </w:r>
      <w:r w:rsidRPr="00CD4991">
        <w:rPr>
          <w:vertAlign w:val="superscript"/>
        </w:rPr>
        <w:t>7</w:t>
      </w:r>
    </w:p>
    <w:p w14:paraId="1E9B281E" w14:textId="77777777" w:rsidR="00CD4991" w:rsidRPr="00CD4991" w:rsidRDefault="00CD4991" w:rsidP="00CD4991">
      <w:r w:rsidRPr="00CD4991">
        <w:t xml:space="preserve">Neuere Studien nutzen Machine Learning (ML), um die Klassifikation dieser Muster zu verfeinern. Dabei zeigt sich, dass komplexere Muster, die sich über mehrere Tage erstrecken (z.B. </w:t>
      </w:r>
      <w:r w:rsidRPr="00CD4991">
        <w:rPr>
          <w:i/>
          <w:iCs/>
        </w:rPr>
        <w:t>Three Black Crows</w:t>
      </w:r>
      <w:r w:rsidRPr="00CD4991">
        <w:t xml:space="preserve"> oder </w:t>
      </w:r>
      <w:r w:rsidRPr="00CD4991">
        <w:rPr>
          <w:i/>
          <w:iCs/>
        </w:rPr>
        <w:t>Three Inside Up</w:t>
      </w:r>
      <w:r w:rsidRPr="00CD4991">
        <w:t xml:space="preserve">), oft profitabler sind als einfache Ein-Tages-Muster wie </w:t>
      </w:r>
      <w:r w:rsidRPr="00CD4991">
        <w:rPr>
          <w:i/>
          <w:iCs/>
        </w:rPr>
        <w:t>Doji</w:t>
      </w:r>
      <w:r w:rsidRPr="00CD4991">
        <w:t xml:space="preserve"> oder </w:t>
      </w:r>
      <w:r w:rsidRPr="00CD4991">
        <w:rPr>
          <w:i/>
          <w:iCs/>
        </w:rPr>
        <w:t>Hammer</w:t>
      </w:r>
      <w:r w:rsidRPr="00CD4991">
        <w:t>.</w:t>
      </w:r>
      <w:r w:rsidRPr="00CD4991">
        <w:rPr>
          <w:vertAlign w:val="superscript"/>
        </w:rPr>
        <w:t>8</w:t>
      </w:r>
      <w:r w:rsidRPr="00CD4991">
        <w:t xml:space="preserve"> Dies liegt daran, dass Mehrtagesmuster eine Bestätigung der Preisbewegung beinhalten, die das Risiko von Fehlsignalen reduziert. Allerdings erfordert die Identifikation komplexer Muster größere Datensätze und fortgeschrittene Algorithmen, da ihr Auftreten seltener ist.</w:t>
      </w:r>
      <w:r w:rsidRPr="00CD4991">
        <w:rPr>
          <w:vertAlign w:val="superscript"/>
        </w:rPr>
        <w:t>9</w:t>
      </w:r>
    </w:p>
    <w:p w14:paraId="415EC816" w14:textId="77777777" w:rsidR="00CD4991" w:rsidRPr="00CD4991" w:rsidRDefault="00CD4991" w:rsidP="00CD4991">
      <w:r w:rsidRPr="00CD4991">
        <w:t xml:space="preserve">Ein kritischer Aspekt in der algorithmischen Umsetzung ist die Unterscheidung zwischen </w:t>
      </w:r>
      <w:r w:rsidRPr="00CD4991">
        <w:rPr>
          <w:b/>
          <w:bCs/>
        </w:rPr>
        <w:t>vollständigen</w:t>
      </w:r>
      <w:r w:rsidRPr="00CD4991">
        <w:t xml:space="preserve"> und </w:t>
      </w:r>
      <w:r w:rsidRPr="00CD4991">
        <w:rPr>
          <w:b/>
          <w:bCs/>
        </w:rPr>
        <w:t>unvollständigen</w:t>
      </w:r>
      <w:r w:rsidRPr="00CD4991">
        <w:t xml:space="preserve"> (emerging) Mustern. Während die klassische Lehre das geduldige Abwarten eines Ausbruchs (Breakout) zur Bestätigung empfiehlt, versuchen moderne Algorithmen, Muster bereits in ihrer Entstehungsphase probabilistisch zu erfassen. Das Ziel ist es, den Einstiegspunkt zu optimieren und das Gewinnpotenzial zu maximieren, bevor die Masse der Marktteilnehmer reagiert. Forschungsergebnisse deuten jedoch darauf hin, dass unvollständige Muster ein signifikant höheres Risiko von Fehlschlägen bergen.</w:t>
      </w:r>
      <w:r w:rsidRPr="00CD4991">
        <w:rPr>
          <w:vertAlign w:val="superscript"/>
        </w:rPr>
        <w:t>10</w:t>
      </w:r>
    </w:p>
    <w:p w14:paraId="6C2ECEE1" w14:textId="77777777" w:rsidR="00CD4991" w:rsidRPr="00CD4991" w:rsidRDefault="00CD4991" w:rsidP="00CD4991">
      <w:r w:rsidRPr="00CD4991">
        <w:t>Die folgende Tabelle fasst die Charakteristika und die algorithmische Erfassung wichtiger Chartmuster zusammen:</w:t>
      </w:r>
    </w:p>
    <w:tbl>
      <w:tblPr>
        <w:tblW w:w="0" w:type="auto"/>
        <w:tblCellSpacing w:w="15" w:type="dxa"/>
        <w:tblCellMar>
          <w:left w:w="0" w:type="dxa"/>
          <w:right w:w="0" w:type="dxa"/>
        </w:tblCellMar>
        <w:tblLook w:val="04A0" w:firstRow="1" w:lastRow="0" w:firstColumn="1" w:lastColumn="0" w:noHBand="0" w:noVBand="1"/>
      </w:tblPr>
      <w:tblGrid>
        <w:gridCol w:w="1900"/>
        <w:gridCol w:w="2622"/>
        <w:gridCol w:w="2176"/>
        <w:gridCol w:w="2358"/>
      </w:tblGrid>
      <w:tr w:rsidR="00CD4991" w:rsidRPr="00CD4991" w14:paraId="553697E3"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C3743D" w14:textId="77777777" w:rsidR="00CD4991" w:rsidRPr="00CD4991" w:rsidRDefault="00CD4991" w:rsidP="00CD4991">
            <w:r w:rsidRPr="00CD4991">
              <w:rPr>
                <w:b/>
                <w:bCs/>
              </w:rPr>
              <w:lastRenderedPageBreak/>
              <w:t>Muster-Typ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4F3496" w14:textId="77777777" w:rsidR="00CD4991" w:rsidRPr="00CD4991" w:rsidRDefault="00CD4991" w:rsidP="00CD4991">
            <w:r w:rsidRPr="00CD4991">
              <w:rPr>
                <w:b/>
                <w:bCs/>
              </w:rPr>
              <w:t>Charakteristik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A10B99" w14:textId="77777777" w:rsidR="00CD4991" w:rsidRPr="00CD4991" w:rsidRDefault="00CD4991" w:rsidP="00CD4991">
            <w:r w:rsidRPr="00CD4991">
              <w:rPr>
                <w:b/>
                <w:bCs/>
              </w:rPr>
              <w:t>Algorithmische Erfassung &amp; Kriterien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46D3C2" w14:textId="77777777" w:rsidR="00CD4991" w:rsidRPr="00CD4991" w:rsidRDefault="00CD4991" w:rsidP="00CD4991">
            <w:r w:rsidRPr="00CD4991">
              <w:rPr>
                <w:b/>
                <w:bCs/>
              </w:rPr>
              <w:t>Profitabilitäts- &amp; Risiko-Indikatoren</w:t>
            </w:r>
          </w:p>
        </w:tc>
      </w:tr>
      <w:tr w:rsidR="00CD4991" w:rsidRPr="00CD4991" w14:paraId="477DC44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6DB436" w14:textId="77777777" w:rsidR="00CD4991" w:rsidRPr="00CD4991" w:rsidRDefault="00CD4991" w:rsidP="00CD4991">
            <w:r w:rsidRPr="00CD4991">
              <w:rPr>
                <w:b/>
                <w:bCs/>
              </w:rPr>
              <w:t>Kopf-Schulter (Head &amp; Shoulders)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A73FCD" w14:textId="77777777" w:rsidR="00CD4991" w:rsidRPr="00CD4991" w:rsidRDefault="00CD4991" w:rsidP="00CD4991">
            <w:r w:rsidRPr="00CD4991">
              <w:t>Klassisches Umkehrmuster (Reversal) am Ende eines Aufwärtstrends.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47808E" w14:textId="77777777" w:rsidR="00CD4991" w:rsidRPr="00CD4991" w:rsidRDefault="00CD4991" w:rsidP="00CD4991">
            <w:r w:rsidRPr="00CD4991">
              <w:t>Identifikation von 3 lokalen Maxima (Mitte &gt; Außen) via Kernregression. Nackenlinie verbindet die Zwischentiefs.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1B7C55" w14:textId="77777777" w:rsidR="00CD4991" w:rsidRPr="00CD4991" w:rsidRDefault="00CD4991" w:rsidP="00CD4991">
            <w:r w:rsidRPr="00CD4991">
              <w:t>Hohe Zuverlässigkeit bei Trendumkehr, jedoch anfällig für Fehlsignale in starken Trends. Volumen sollte beim rechten Schulter-Anstieg abnehmen.</w:t>
            </w:r>
            <w:r w:rsidRPr="00CD4991">
              <w:rPr>
                <w:vertAlign w:val="superscript"/>
              </w:rPr>
              <w:t>11</w:t>
            </w:r>
          </w:p>
        </w:tc>
      </w:tr>
      <w:tr w:rsidR="00CD4991" w:rsidRPr="00CD4991" w14:paraId="542FCF6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E00494" w14:textId="77777777" w:rsidR="00CD4991" w:rsidRPr="00CD4991" w:rsidRDefault="00CD4991" w:rsidP="00CD4991">
            <w:r w:rsidRPr="00CD4991">
              <w:rPr>
                <w:b/>
                <w:bCs/>
              </w:rPr>
              <w:t>Bull Flag (Bullenflagge)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1C765C" w14:textId="77777777" w:rsidR="00CD4991" w:rsidRPr="00CD4991" w:rsidRDefault="00CD4991" w:rsidP="00CD4991">
            <w:r w:rsidRPr="00CD4991">
              <w:t>Fortsetzungsmuster (Continuation) in einem Aufwärtstrend.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F58408" w14:textId="77777777" w:rsidR="00CD4991" w:rsidRPr="00CD4991" w:rsidRDefault="00CD4991" w:rsidP="00CD4991">
            <w:r w:rsidRPr="00CD4991">
              <w:t>Erkennung eines steilen, impulsiven Anstiegs (Flagpole) gefolgt von einer Konsolidierung in einem engen Kanal.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D7143B" w14:textId="77777777" w:rsidR="00CD4991" w:rsidRPr="00CD4991" w:rsidRDefault="00CD4991" w:rsidP="00CD4991">
            <w:r w:rsidRPr="00CD4991">
              <w:t>Korreliert statistisch mit höheren Renditen. Volumenbestätigung essentiell: Abnehmend in der Flagge, explodierend beim Ausbruch.</w:t>
            </w:r>
            <w:r w:rsidRPr="00CD4991">
              <w:rPr>
                <w:vertAlign w:val="superscript"/>
              </w:rPr>
              <w:t>11</w:t>
            </w:r>
          </w:p>
        </w:tc>
      </w:tr>
      <w:tr w:rsidR="00CD4991" w:rsidRPr="00CD4991" w14:paraId="2FBB730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35B169" w14:textId="77777777" w:rsidR="00CD4991" w:rsidRPr="00CD4991" w:rsidRDefault="00CD4991" w:rsidP="00CD4991">
            <w:r w:rsidRPr="00CD4991">
              <w:rPr>
                <w:b/>
                <w:bCs/>
              </w:rPr>
              <w:t>Dreiecke (Triangles)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E3EC0D" w14:textId="77777777" w:rsidR="00CD4991" w:rsidRPr="00CD4991" w:rsidRDefault="00CD4991" w:rsidP="00CD4991">
            <w:r w:rsidRPr="00CD4991">
              <w:t>Konsolidierungsmuster, die oft zu Ausbrüchen führen.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E37F92" w14:textId="77777777" w:rsidR="00CD4991" w:rsidRPr="00CD4991" w:rsidRDefault="00CD4991" w:rsidP="00CD4991">
            <w:r w:rsidRPr="00CD4991">
              <w:t>Konvergierende Trendlinien durch lokale Extrema. Symmetrisch, aufsteigend oder absteigend.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A1DD80" w14:textId="77777777" w:rsidR="00CD4991" w:rsidRPr="00CD4991" w:rsidRDefault="00CD4991" w:rsidP="00CD4991">
            <w:r w:rsidRPr="00CD4991">
              <w:t>Aufsteigende Dreiecke oft bullish, absteigende bearish. Ausbruchsrichtung meist Trend-konform. Symmetrische Dreiecke sind bi-direktional.</w:t>
            </w:r>
            <w:r w:rsidRPr="00CD4991">
              <w:rPr>
                <w:vertAlign w:val="superscript"/>
              </w:rPr>
              <w:t>13</w:t>
            </w:r>
          </w:p>
        </w:tc>
      </w:tr>
      <w:tr w:rsidR="00CD4991" w:rsidRPr="00CD4991" w14:paraId="480699F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39CE28" w14:textId="77777777" w:rsidR="00CD4991" w:rsidRPr="00CD4991" w:rsidRDefault="00CD4991" w:rsidP="00CD4991">
            <w:r w:rsidRPr="00CD4991">
              <w:rPr>
                <w:b/>
                <w:bCs/>
              </w:rPr>
              <w:lastRenderedPageBreak/>
              <w:t>Double Bottom (Doppelboden)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A6A7DA" w14:textId="77777777" w:rsidR="00CD4991" w:rsidRPr="00CD4991" w:rsidRDefault="00CD4991" w:rsidP="00CD4991">
            <w:r w:rsidRPr="00CD4991">
              <w:t>Umkehrmuster am Ende eines Abwärtstrends.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822F6F" w14:textId="77777777" w:rsidR="00CD4991" w:rsidRPr="00CD4991" w:rsidRDefault="00CD4991" w:rsidP="00CD4991">
            <w:r w:rsidRPr="00CD4991">
              <w:t>Zwei Minima auf ähnlichem Preisniveau, getrennt durch ein zwischenzeitliches Hoch. W-Formation.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629BFA" w14:textId="77777777" w:rsidR="00CD4991" w:rsidRPr="00CD4991" w:rsidRDefault="00CD4991" w:rsidP="00CD4991">
            <w:r w:rsidRPr="00CD4991">
              <w:t>Erfordert signifikanten Volumenanstieg beim zweiten Tief und Durchbruch der Nackenlinie zur Validierung. Anfällig für "Fakeouts".</w:t>
            </w:r>
            <w:r w:rsidRPr="00CD4991">
              <w:rPr>
                <w:vertAlign w:val="superscript"/>
              </w:rPr>
              <w:t>15</w:t>
            </w:r>
          </w:p>
        </w:tc>
      </w:tr>
    </w:tbl>
    <w:p w14:paraId="404D71E5" w14:textId="77777777" w:rsidR="00CD4991" w:rsidRPr="00CD4991" w:rsidRDefault="00CD4991" w:rsidP="00CD4991">
      <w:pPr>
        <w:rPr>
          <w:b/>
          <w:bCs/>
        </w:rPr>
      </w:pPr>
      <w:r w:rsidRPr="00CD4991">
        <w:rPr>
          <w:b/>
          <w:bCs/>
        </w:rPr>
        <w:t>2.1.2. Die Bull-Flag-Heuristik: Ein Fallbeispiel für statistische Signifikanz</w:t>
      </w:r>
    </w:p>
    <w:p w14:paraId="76173DDF" w14:textId="77777777" w:rsidR="00CD4991" w:rsidRPr="00CD4991" w:rsidRDefault="00CD4991" w:rsidP="00CD4991">
      <w:r w:rsidRPr="00CD4991">
        <w:t>Besondere Aufmerksamkeit in der Literatur gilt der "Bull Flag". Dieses Muster repräsentiert eine kurze Pause in einem dynamischen Aufwärtstrend, in der Gewinnmitnahmen stattfinden, bevor der Trend fortgesetzt wird. Studien, wie die von Wang et al. (2007) sowie interne Untersuchungen von JP Morgan, bestätigen, dass dieses Muster im Durchschnitt profitable Signale liefert.</w:t>
      </w:r>
      <w:r w:rsidRPr="00CD4991">
        <w:rPr>
          <w:vertAlign w:val="superscript"/>
        </w:rPr>
        <w:t>12</w:t>
      </w:r>
    </w:p>
    <w:p w14:paraId="74AD927D" w14:textId="77777777" w:rsidR="00CD4991" w:rsidRPr="00CD4991" w:rsidRDefault="00CD4991" w:rsidP="00CD4991">
      <w:r w:rsidRPr="00CD4991">
        <w:t>Die algorithmische Definition umfasst hierbei präzise Kriterien:</w:t>
      </w:r>
    </w:p>
    <w:p w14:paraId="41D9B6A1" w14:textId="77777777" w:rsidR="00CD4991" w:rsidRPr="00CD4991" w:rsidRDefault="00CD4991" w:rsidP="00CD4991">
      <w:pPr>
        <w:numPr>
          <w:ilvl w:val="0"/>
          <w:numId w:val="1"/>
        </w:numPr>
      </w:pPr>
      <w:r w:rsidRPr="00CD4991">
        <w:rPr>
          <w:b/>
          <w:bCs/>
        </w:rPr>
        <w:t>Flagpole:</w:t>
      </w:r>
      <w:r w:rsidRPr="00CD4991">
        <w:t xml:space="preserve"> Ein Preisanstieg von signifikanter Magnitude (z.B. &gt; 3x ATR) innerhalb kurzer Zeit.</w:t>
      </w:r>
    </w:p>
    <w:p w14:paraId="584003A5" w14:textId="77777777" w:rsidR="00CD4991" w:rsidRPr="00CD4991" w:rsidRDefault="00CD4991" w:rsidP="00CD4991">
      <w:pPr>
        <w:numPr>
          <w:ilvl w:val="0"/>
          <w:numId w:val="1"/>
        </w:numPr>
      </w:pPr>
      <w:r w:rsidRPr="00CD4991">
        <w:rPr>
          <w:b/>
          <w:bCs/>
        </w:rPr>
        <w:t>Konsolidierung:</w:t>
      </w:r>
      <w:r w:rsidRPr="00CD4991">
        <w:t xml:space="preserve"> Eine Phase geringerer Volatilität, in der der Preis leicht gegen den Trend oder seitwärts läuft, typischerweise nicht länger als 3-4 Wochen auf Tagesbasis.</w:t>
      </w:r>
    </w:p>
    <w:p w14:paraId="2AD8C3E2" w14:textId="77777777" w:rsidR="00CD4991" w:rsidRPr="00CD4991" w:rsidRDefault="00CD4991" w:rsidP="00CD4991">
      <w:pPr>
        <w:numPr>
          <w:ilvl w:val="0"/>
          <w:numId w:val="1"/>
        </w:numPr>
      </w:pPr>
      <w:r w:rsidRPr="00CD4991">
        <w:rPr>
          <w:b/>
          <w:bCs/>
        </w:rPr>
        <w:t>Volumen:</w:t>
      </w:r>
      <w:r w:rsidRPr="00CD4991">
        <w:t xml:space="preserve"> Das Volumen muss während des Anstiegs hoch sein und während der Konsolidierung deutlich abfallen. Ein Ausbruch ohne Volumenanstieg wird oft als Fehlsignal klassifiziert.</w:t>
      </w:r>
      <w:r w:rsidRPr="00CD4991">
        <w:rPr>
          <w:vertAlign w:val="superscript"/>
        </w:rPr>
        <w:t>11</w:t>
      </w:r>
    </w:p>
    <w:p w14:paraId="58DF8101" w14:textId="77777777" w:rsidR="00CD4991" w:rsidRPr="00CD4991" w:rsidRDefault="00CD4991" w:rsidP="00CD4991">
      <w:r w:rsidRPr="00CD4991">
        <w:t>Interessanterweise zeigen Untersuchungen, dass Algorithmen, die diese Muster erkennen, oft besser abschneiden als solche, die nur auf simplen Indikatoren basieren, da sie Marktpsychologie (Gewinnmitnahmen vs. Akkumulation) implizit modellieren.</w:t>
      </w:r>
      <w:r w:rsidRPr="00CD4991">
        <w:rPr>
          <w:vertAlign w:val="superscript"/>
        </w:rPr>
        <w:t>7</w:t>
      </w:r>
    </w:p>
    <w:p w14:paraId="1164DD48" w14:textId="77777777" w:rsidR="00CD4991" w:rsidRPr="00CD4991" w:rsidRDefault="00CD4991" w:rsidP="00CD4991">
      <w:pPr>
        <w:rPr>
          <w:b/>
          <w:bCs/>
        </w:rPr>
      </w:pPr>
      <w:r w:rsidRPr="00CD4991">
        <w:rPr>
          <w:b/>
          <w:bCs/>
        </w:rPr>
        <w:t>2.2. Grenzen der klassischen Mustererkennung und psychologische Fallen</w:t>
      </w:r>
    </w:p>
    <w:p w14:paraId="6589C56E" w14:textId="77777777" w:rsidR="00CD4991" w:rsidRPr="00CD4991" w:rsidRDefault="00CD4991" w:rsidP="00CD4991">
      <w:r w:rsidRPr="00CD4991">
        <w:t xml:space="preserve">Trotz der statistischen Validierung weisen reine Chartmuster-Strategien signifikante Schwächen auf, wenn sie isoliert betrachtet werden. Das größte Problem sind </w:t>
      </w:r>
      <w:r w:rsidRPr="00CD4991">
        <w:rPr>
          <w:b/>
          <w:bCs/>
        </w:rPr>
        <w:t>Fehlausbrüche (False Breakouts)</w:t>
      </w:r>
      <w:r w:rsidRPr="00CD4991">
        <w:t xml:space="preserve">. Ein Ausbruch aus einem Dreieck oder einer Flagge wird oft schnell revidiert – ein Phänomen, das als "Bull Trap" oder "Bear Trap" bekannt </w:t>
      </w:r>
      <w:r w:rsidRPr="00CD4991">
        <w:lastRenderedPageBreak/>
        <w:t>ist. Trader und Algorithmen werden in eine Position gelockt, nur um zu sehen, wie sich der Markt sofort gegen sie wendet. Studien zeigen, dass das Warten auf einen "Retest" des Ausbruchsniveaus oder zumindest auf den Schlusskurs der Ausbruchskerze die Erfolgsquote (Win Rate) signifikant erhöhen kann, wenn auch auf Kosten der Opportunität.</w:t>
      </w:r>
      <w:r w:rsidRPr="00CD4991">
        <w:rPr>
          <w:vertAlign w:val="superscript"/>
        </w:rPr>
        <w:t>17</w:t>
      </w:r>
    </w:p>
    <w:p w14:paraId="71680897" w14:textId="77777777" w:rsidR="00CD4991" w:rsidRPr="00CD4991" w:rsidRDefault="00CD4991" w:rsidP="00CD4991">
      <w:r w:rsidRPr="00CD4991">
        <w:t xml:space="preserve">Ein weiteres Problem ist die </w:t>
      </w:r>
      <w:r w:rsidRPr="00CD4991">
        <w:rPr>
          <w:b/>
          <w:bCs/>
        </w:rPr>
        <w:t>mangelnde Kontextualisierung</w:t>
      </w:r>
      <w:r w:rsidRPr="00CD4991">
        <w:t>. Ein "Bullish Engulfing"-Muster hat in einem starken Abwärtstrend (Bärenmarkt) eine völlig andere Wahrscheinlichkeit als in einem etablierten Aufwärtstrend. Algorithmen, die Muster als absolute Signale ohne Berücksichtigung des übergeordneten Marktregimes handeln, neigen zu hohen Drawdowns (Verlustphasen).</w:t>
      </w:r>
      <w:r w:rsidRPr="00CD4991">
        <w:rPr>
          <w:vertAlign w:val="superscript"/>
        </w:rPr>
        <w:t>1</w:t>
      </w:r>
    </w:p>
    <w:p w14:paraId="3F1E7DD2" w14:textId="77777777" w:rsidR="00CD4991" w:rsidRPr="00CD4991" w:rsidRDefault="00CD4991" w:rsidP="00CD4991">
      <w:r w:rsidRPr="00CD4991">
        <w:t xml:space="preserve">Schließlich spielt auch die menschliche Psychologie eine Rolle, die sich in den Algorithmen widerspiegeln kann. </w:t>
      </w:r>
      <w:r w:rsidRPr="00CD4991">
        <w:rPr>
          <w:b/>
          <w:bCs/>
        </w:rPr>
        <w:t>Apophänie</w:t>
      </w:r>
      <w:r w:rsidRPr="00CD4991">
        <w:t xml:space="preserve"> bezeichnet die menschliche Tendenz, Muster in zufälligen Daten zu sehen. Wenn Entwickler von Algorithmen ihre Parameter zu stark an historische Daten anpassen (Overfitting), beginnen ihre Systeme, Rauschen als Signal zu interpretieren. Dies führt zu exzellenten Backtest-Ergebnissen, aber zu Versagen im Live-Handel.</w:t>
      </w:r>
      <w:r w:rsidRPr="00CD4991">
        <w:rPr>
          <w:vertAlign w:val="superscript"/>
        </w:rPr>
        <w:t>15</w:t>
      </w:r>
      <w:r w:rsidRPr="00CD4991">
        <w:t xml:space="preserve"> Die wissenschaftliche Antwort auf dieses Problem ist die rigorose Trennung von "In-Sample" (Training) und "Out-of-Sample" (Test) Daten sowie die Nutzung von Regime-Filtern, die im nächsten Kapitel behandelt werden.</w:t>
      </w:r>
    </w:p>
    <w:p w14:paraId="0FCDA999" w14:textId="77777777" w:rsidR="00CD4991" w:rsidRPr="00CD4991" w:rsidRDefault="00CD4991" w:rsidP="00CD4991">
      <w:r w:rsidRPr="00CD4991">
        <w:pict w14:anchorId="60C993A4">
          <v:rect id="_x0000_i1062" style="width:0;height:1.5pt" o:hralign="center" o:hrstd="t" o:hrnoshade="t" o:hr="t" fillcolor="gray" stroked="f"/>
        </w:pict>
      </w:r>
    </w:p>
    <w:p w14:paraId="5FF010EC" w14:textId="77777777" w:rsidR="00CD4991" w:rsidRPr="00CD4991" w:rsidRDefault="00CD4991" w:rsidP="00CD4991">
      <w:pPr>
        <w:rPr>
          <w:b/>
          <w:bCs/>
        </w:rPr>
      </w:pPr>
      <w:r w:rsidRPr="00CD4991">
        <w:rPr>
          <w:b/>
          <w:bCs/>
        </w:rPr>
        <w:t>3. Marktregime-Klassifikation: Der Kontext als Alpha-Treiber</w:t>
      </w:r>
    </w:p>
    <w:p w14:paraId="17C60C5F" w14:textId="77777777" w:rsidR="00CD4991" w:rsidRPr="00CD4991" w:rsidRDefault="00CD4991" w:rsidP="00CD4991">
      <w:r w:rsidRPr="00CD4991">
        <w:t>Das fundamentale Problem statischer Trading-Strategien ist ihre Unfähigkeit, sich an fundamental ändernde Marktbedingungen anzupassen. Die Finanzmärkte durchlaufen verschiedene Phasen oder "Regimes", die durch unterschiedliche statistische Eigenschaften wie Volatilität, Korrelation und Trendstärke gekennzeichnet sind. Eine Strategie, die in einem Trendmarkt (High Volatility Bull) hervorragende Ergebnisse liefert – beispielsweise ein Breakout-System –, wird in einem Seitwärtsmarkt (Low Volatility Range) oft durch eine Serie von Fehlsignalen systematisch Kapital vernichten.</w:t>
      </w:r>
      <w:r w:rsidRPr="00CD4991">
        <w:rPr>
          <w:vertAlign w:val="superscript"/>
        </w:rPr>
        <w:t>18</w:t>
      </w:r>
      <w:r w:rsidRPr="00CD4991">
        <w:t xml:space="preserve"> Die Lösung für dieses Dilemma liegt in der dynamischen Erkennung von Marktregimes (Regime Detection), die es erlaubt, Strategien kontextabhängig zu aktivieren oder zu deaktivieren.</w:t>
      </w:r>
    </w:p>
    <w:p w14:paraId="23D55BCD" w14:textId="77777777" w:rsidR="00CD4991" w:rsidRPr="00CD4991" w:rsidRDefault="00CD4991" w:rsidP="00CD4991">
      <w:pPr>
        <w:rPr>
          <w:b/>
          <w:bCs/>
        </w:rPr>
      </w:pPr>
      <w:r w:rsidRPr="00CD4991">
        <w:rPr>
          <w:b/>
          <w:bCs/>
        </w:rPr>
        <w:t>3.1. Taxonomie der Marktregimes</w:t>
      </w:r>
    </w:p>
    <w:p w14:paraId="4B2F7F4B" w14:textId="77777777" w:rsidR="00CD4991" w:rsidRPr="00CD4991" w:rsidRDefault="00CD4991" w:rsidP="00CD4991">
      <w:r w:rsidRPr="00CD4991">
        <w:t xml:space="preserve">Märkte lassen sich nicht adäquat durch eine binäre Einteilung in "Bull" oder "Bear" beschreiben. Für die Entwicklung robuster Algorithmen ist eine granularere Klassifikation notwendig, die mindestens vier bis fünf Zustände unterscheidet </w:t>
      </w:r>
      <w:r w:rsidRPr="00CD4991">
        <w:rPr>
          <w:vertAlign w:val="superscript"/>
        </w:rPr>
        <w:t>19</w:t>
      </w:r>
      <w:r w:rsidRPr="00CD4991">
        <w:t>:</w:t>
      </w:r>
    </w:p>
    <w:p w14:paraId="78334672" w14:textId="77777777" w:rsidR="00CD4991" w:rsidRPr="00CD4991" w:rsidRDefault="00CD4991" w:rsidP="00CD4991">
      <w:pPr>
        <w:numPr>
          <w:ilvl w:val="0"/>
          <w:numId w:val="2"/>
        </w:numPr>
      </w:pPr>
      <w:r w:rsidRPr="00CD4991">
        <w:rPr>
          <w:b/>
          <w:bCs/>
        </w:rPr>
        <w:t>Secular Growth / Trending Bull:</w:t>
      </w:r>
      <w:r w:rsidRPr="00CD4991">
        <w:t xml:space="preserve"> Geringe bis mittlere Volatilität, stetiger Anstieg. Indikatoren wie der ADX (Average Directional Index) liegen typischerweise über 20, und der Preis notiert stabil über den gleitenden Durchschnitten.</w:t>
      </w:r>
      <w:r w:rsidRPr="00CD4991">
        <w:rPr>
          <w:vertAlign w:val="superscript"/>
        </w:rPr>
        <w:t>20</w:t>
      </w:r>
      <w:r w:rsidRPr="00CD4991">
        <w:t xml:space="preserve"> Dies ist das ideale Umfeld für "Buy-and-Hold" oder Trendfolgestrategien.</w:t>
      </w:r>
    </w:p>
    <w:p w14:paraId="62227A53" w14:textId="77777777" w:rsidR="00CD4991" w:rsidRPr="00CD4991" w:rsidRDefault="00CD4991" w:rsidP="00CD4991">
      <w:pPr>
        <w:numPr>
          <w:ilvl w:val="0"/>
          <w:numId w:val="2"/>
        </w:numPr>
      </w:pPr>
      <w:r w:rsidRPr="00CD4991">
        <w:rPr>
          <w:b/>
          <w:bCs/>
        </w:rPr>
        <w:lastRenderedPageBreak/>
        <w:t>Volatile Bull / Momentum Burst:</w:t>
      </w:r>
      <w:r w:rsidRPr="00CD4991">
        <w:t xml:space="preserve"> Phasen hoher Volatilität mit schnellen, oft parabolischen Anstiegen. Hier dominieren Gier und "Fear of Missing Out" (FOMO). Momentum-Strategien funktionieren gut, aber das Risiko scharfer Korrekturen ist hoch.</w:t>
      </w:r>
    </w:p>
    <w:p w14:paraId="5FBBA62E" w14:textId="77777777" w:rsidR="00CD4991" w:rsidRPr="00CD4991" w:rsidRDefault="00CD4991" w:rsidP="00CD4991">
      <w:pPr>
        <w:numPr>
          <w:ilvl w:val="0"/>
          <w:numId w:val="2"/>
        </w:numPr>
      </w:pPr>
      <w:r w:rsidRPr="00CD4991">
        <w:rPr>
          <w:b/>
          <w:bCs/>
        </w:rPr>
        <w:t>Sideways / Choppy / Range-Bound:</w:t>
      </w:r>
      <w:r w:rsidRPr="00CD4991">
        <w:t xml:space="preserve"> Der Preis oszilliert zwischen definierten Unterstützungs- und Widerstandsniveaus ohne klaren Trend. Der ADX ist niedrig (&lt; 20). Trendfolgesysteme produzieren hier Verluste, während Mean-Reversion-Strategien (z.B. basierend auf Bollinger Bändern oder RSI) profitabel sind.</w:t>
      </w:r>
      <w:r w:rsidRPr="00CD4991">
        <w:rPr>
          <w:vertAlign w:val="superscript"/>
        </w:rPr>
        <w:t>21</w:t>
      </w:r>
    </w:p>
    <w:p w14:paraId="3CE31F5C" w14:textId="77777777" w:rsidR="00CD4991" w:rsidRPr="00CD4991" w:rsidRDefault="00CD4991" w:rsidP="00CD4991">
      <w:pPr>
        <w:numPr>
          <w:ilvl w:val="0"/>
          <w:numId w:val="2"/>
        </w:numPr>
      </w:pPr>
      <w:r w:rsidRPr="00CD4991">
        <w:rPr>
          <w:b/>
          <w:bCs/>
        </w:rPr>
        <w:t>Bear / Crash:</w:t>
      </w:r>
      <w:r w:rsidRPr="00CD4991">
        <w:t xml:space="preserve"> Gekennzeichnet durch hohe Volatilität, Panikverkäufe und oft steigende Korrelationen zwischen Anlageklassen (Contagion-Effekt). In diesen Phasen funktionieren Short-Strategien oder der Rückzug in "Safe Havens".</w:t>
      </w:r>
    </w:p>
    <w:p w14:paraId="7036CE6E" w14:textId="77777777" w:rsidR="00CD4991" w:rsidRPr="00CD4991" w:rsidRDefault="00CD4991" w:rsidP="00CD4991">
      <w:pPr>
        <w:numPr>
          <w:ilvl w:val="0"/>
          <w:numId w:val="2"/>
        </w:numPr>
      </w:pPr>
      <w:r w:rsidRPr="00CD4991">
        <w:rPr>
          <w:b/>
          <w:bCs/>
        </w:rPr>
        <w:t>Regime-Transition:</w:t>
      </w:r>
      <w:r w:rsidRPr="00CD4991">
        <w:t xml:space="preserve"> Dies ist die gefährlichste Phase für jeden Algorithmus. Es ist der Übergangsbereich, in dem sich die Marktstruktur ändert (z.B. von Trend zu Seitwärts). Korrelationen brechen zusammen, und Volatilität steigt oft sprunghaft an.</w:t>
      </w:r>
    </w:p>
    <w:p w14:paraId="019A5324" w14:textId="77777777" w:rsidR="00CD4991" w:rsidRPr="00CD4991" w:rsidRDefault="00CD4991" w:rsidP="00CD4991">
      <w:pPr>
        <w:rPr>
          <w:b/>
          <w:bCs/>
        </w:rPr>
      </w:pPr>
      <w:r w:rsidRPr="00CD4991">
        <w:rPr>
          <w:b/>
          <w:bCs/>
        </w:rPr>
        <w:t>3.2. Mathematische Modelle zur Regime-Erkennung</w:t>
      </w:r>
    </w:p>
    <w:p w14:paraId="18744540" w14:textId="77777777" w:rsidR="00CD4991" w:rsidRPr="00CD4991" w:rsidRDefault="00CD4991" w:rsidP="00CD4991">
      <w:r w:rsidRPr="00CD4991">
        <w:t>Zur automatisierten Detektion dieser Zustände haben sich in der quantitativen Forschung zwei Hauptansätze etabliert: Überwachtes Lernen (Supervised Learning) und Unüberwachtes Lernen (Unsupervised Learning). Da Marktregimes oft latent (nicht direkt beobachtbar) sind, dominieren unüberwachte Verfahren.</w:t>
      </w:r>
    </w:p>
    <w:p w14:paraId="3F91726E" w14:textId="77777777" w:rsidR="00CD4991" w:rsidRPr="00CD4991" w:rsidRDefault="00CD4991" w:rsidP="00CD4991">
      <w:pPr>
        <w:rPr>
          <w:b/>
          <w:bCs/>
        </w:rPr>
      </w:pPr>
      <w:r w:rsidRPr="00CD4991">
        <w:rPr>
          <w:b/>
          <w:bCs/>
        </w:rPr>
        <w:t>3.2.1. Hidden Markov Modelle (HMM)</w:t>
      </w:r>
    </w:p>
    <w:p w14:paraId="49DFC48F" w14:textId="77777777" w:rsidR="00CD4991" w:rsidRPr="00CD4991" w:rsidRDefault="00CD4991" w:rsidP="00CD4991">
      <w:r w:rsidRPr="00CD4991">
        <w:t>HMMs gelten als der Goldstandard in der Regime-Erkennung. Sie modellieren den Markt als einen stochastischen Prozess mit nicht beobachtbaren (versteckten) Zuständen $S_t$ (z.B. „ruhig“, „turbulent“), die basierend auf beobachtbaren Variablen (Emissionen $O_t$, z.B. Renditen, Volatilität) emittiert werden.</w:t>
      </w:r>
      <w:r w:rsidRPr="00CD4991">
        <w:rPr>
          <w:vertAlign w:val="superscript"/>
        </w:rPr>
        <w:t>2</w:t>
      </w:r>
    </w:p>
    <w:p w14:paraId="288474F9" w14:textId="77777777" w:rsidR="00CD4991" w:rsidRPr="00CD4991" w:rsidRDefault="00CD4991" w:rsidP="00CD4991">
      <w:pPr>
        <w:numPr>
          <w:ilvl w:val="0"/>
          <w:numId w:val="3"/>
        </w:numPr>
      </w:pPr>
      <w:r w:rsidRPr="00CD4991">
        <w:rPr>
          <w:b/>
          <w:bCs/>
        </w:rPr>
        <w:t>Funktionsweise:</w:t>
      </w:r>
      <w:r w:rsidRPr="00CD4991">
        <w:t xml:space="preserve"> Ein HMM schätzt die Wahrscheinlichkeit, dass sich der Markt zum Zeitpunkt $t$ im Zustand $S_i$ befindet, sowie die Übergangswahrscheinlichkeiten (Transition Matrix) $P(S_{t+1}|S_t)$ zu anderen Zuständen. Algorithmen wie der Baum-Welch-Algorithmus werden zur Parameterschätzung und der Viterbi-Algorithmus zur Bestimmung der wahrscheinlichsten Zustandsfolge genutzt.</w:t>
      </w:r>
      <w:r w:rsidRPr="00CD4991">
        <w:rPr>
          <w:vertAlign w:val="superscript"/>
        </w:rPr>
        <w:t>3</w:t>
      </w:r>
    </w:p>
    <w:p w14:paraId="7C8831D2" w14:textId="77777777" w:rsidR="00CD4991" w:rsidRPr="00CD4991" w:rsidRDefault="00CD4991" w:rsidP="00CD4991">
      <w:pPr>
        <w:numPr>
          <w:ilvl w:val="0"/>
          <w:numId w:val="3"/>
        </w:numPr>
      </w:pPr>
      <w:r w:rsidRPr="00CD4991">
        <w:rPr>
          <w:b/>
          <w:bCs/>
        </w:rPr>
        <w:t>Vorteile:</w:t>
      </w:r>
      <w:r w:rsidRPr="00CD4991">
        <w:t xml:space="preserve"> HMMs sind besonders gut darin, abrupte Strukturbrüche zu modellieren, die von linearen Modellen oft geglättet oder übersehen werden. Sie können komplexe Verteilungen der Renditen (z.B. Fat Tails in Crash-Phasen) besser abbilden als einfache Normalverteilungsannahmen.</w:t>
      </w:r>
    </w:p>
    <w:p w14:paraId="0FEC3C6E" w14:textId="77777777" w:rsidR="00CD4991" w:rsidRPr="00CD4991" w:rsidRDefault="00CD4991" w:rsidP="00CD4991">
      <w:pPr>
        <w:numPr>
          <w:ilvl w:val="0"/>
          <w:numId w:val="3"/>
        </w:numPr>
      </w:pPr>
      <w:r w:rsidRPr="00CD4991">
        <w:rPr>
          <w:b/>
          <w:bCs/>
        </w:rPr>
        <w:t>Nachteile &amp; Risiken:</w:t>
      </w:r>
    </w:p>
    <w:p w14:paraId="74D6F43E" w14:textId="77777777" w:rsidR="00CD4991" w:rsidRPr="00CD4991" w:rsidRDefault="00CD4991" w:rsidP="00CD4991">
      <w:pPr>
        <w:numPr>
          <w:ilvl w:val="1"/>
          <w:numId w:val="3"/>
        </w:numPr>
      </w:pPr>
      <w:r w:rsidRPr="00CD4991">
        <w:rPr>
          <w:b/>
          <w:bCs/>
        </w:rPr>
        <w:lastRenderedPageBreak/>
        <w:t>Stationarität:</w:t>
      </w:r>
      <w:r w:rsidRPr="00CD4991">
        <w:t xml:space="preserve"> HMMs nehmen in ihrer Standardform konstante Übergangswahrscheinlichkeiten an. Finanzmärkte sind jedoch instationär. Ein Modell, das auf Daten von 2000-2010 trainiert wurde, versagt oft in der Marktstruktur von 2025.</w:t>
      </w:r>
      <w:r w:rsidRPr="00CD4991">
        <w:rPr>
          <w:vertAlign w:val="superscript"/>
        </w:rPr>
        <w:t>23</w:t>
      </w:r>
    </w:p>
    <w:p w14:paraId="7564D5C6" w14:textId="77777777" w:rsidR="00CD4991" w:rsidRPr="00CD4991" w:rsidRDefault="00CD4991" w:rsidP="00CD4991">
      <w:pPr>
        <w:numPr>
          <w:ilvl w:val="1"/>
          <w:numId w:val="3"/>
        </w:numPr>
      </w:pPr>
      <w:r w:rsidRPr="00CD4991">
        <w:rPr>
          <w:b/>
          <w:bCs/>
        </w:rPr>
        <w:t>Lag (Verzögerung):</w:t>
      </w:r>
      <w:r w:rsidRPr="00CD4991">
        <w:t xml:space="preserve"> HMMs benötigen oft mehrere Beobachtungen, um einen Regime-Wechsel mit hoher Wahrscheinlichkeit zu bestätigen. In einem "Flash Crash" reagiert das HMM oft erst, wenn der größte Verlust bereits eingetreten ist.</w:t>
      </w:r>
      <w:r w:rsidRPr="00CD4991">
        <w:rPr>
          <w:vertAlign w:val="superscript"/>
        </w:rPr>
        <w:t>24</w:t>
      </w:r>
    </w:p>
    <w:p w14:paraId="3869F275" w14:textId="77777777" w:rsidR="00CD4991" w:rsidRPr="00CD4991" w:rsidRDefault="00CD4991" w:rsidP="00CD4991">
      <w:pPr>
        <w:numPr>
          <w:ilvl w:val="1"/>
          <w:numId w:val="3"/>
        </w:numPr>
      </w:pPr>
      <w:r w:rsidRPr="00CD4991">
        <w:rPr>
          <w:b/>
          <w:bCs/>
        </w:rPr>
        <w:t>Retraining:</w:t>
      </w:r>
      <w:r w:rsidRPr="00CD4991">
        <w:t xml:space="preserve"> Um das Stationaritätsproblem zu mindern, muss das HMM regelmäßig (z.B. täglich) mit einem gleitenden Fenster (Sliding Window) neu kalibriert werden, was rechenintensiv ist.</w:t>
      </w:r>
      <w:r w:rsidRPr="00CD4991">
        <w:rPr>
          <w:vertAlign w:val="superscript"/>
        </w:rPr>
        <w:t>23</w:t>
      </w:r>
    </w:p>
    <w:p w14:paraId="53875123" w14:textId="77777777" w:rsidR="00CD4991" w:rsidRPr="00CD4991" w:rsidRDefault="00CD4991" w:rsidP="00CD4991">
      <w:pPr>
        <w:rPr>
          <w:b/>
          <w:bCs/>
        </w:rPr>
      </w:pPr>
      <w:r w:rsidRPr="00CD4991">
        <w:rPr>
          <w:b/>
          <w:bCs/>
        </w:rPr>
        <w:t>3.2.2. Clustering-Algorithmen (K-Means, GMM)</w:t>
      </w:r>
    </w:p>
    <w:p w14:paraId="0940955E" w14:textId="77777777" w:rsidR="00CD4991" w:rsidRPr="00CD4991" w:rsidRDefault="00CD4991" w:rsidP="00CD4991">
      <w:r w:rsidRPr="00CD4991">
        <w:t>Alternativ zu HMMs werden Clustering-Verfahren eingesetzt, um Markttage basierend auf Feature-Vektoren (z.B. VIX, RSI, Volumen, Volatilitätsstruktur) zu gruppieren.</w:t>
      </w:r>
    </w:p>
    <w:p w14:paraId="0DAEEEF9" w14:textId="77777777" w:rsidR="00CD4991" w:rsidRPr="00CD4991" w:rsidRDefault="00CD4991" w:rsidP="00CD4991">
      <w:pPr>
        <w:numPr>
          <w:ilvl w:val="0"/>
          <w:numId w:val="4"/>
        </w:numPr>
      </w:pPr>
      <w:r w:rsidRPr="00CD4991">
        <w:rPr>
          <w:b/>
          <w:bCs/>
        </w:rPr>
        <w:t>Gaussian Mixture Models (GMM):</w:t>
      </w:r>
      <w:r w:rsidRPr="00CD4991">
        <w:t xml:space="preserve"> Im Gegensatz zum harten K-Means-Clustering (ein Datenpunkt gehört zu genau einem Cluster) erlauben GMMs eine probabilistische Zuordnung („Soft Clustering“). Ein Tag könnte also zu 80% dem Cluster „Bull-Regime“ und zu 20% dem Cluster „Transition“ zugeordnet werden. Dies spiegelt die Unsicherheit realer Märkte besser wider.</w:t>
      </w:r>
      <w:r w:rsidRPr="00CD4991">
        <w:rPr>
          <w:vertAlign w:val="superscript"/>
        </w:rPr>
        <w:t>3</w:t>
      </w:r>
    </w:p>
    <w:p w14:paraId="0B12864D" w14:textId="77777777" w:rsidR="00CD4991" w:rsidRPr="00CD4991" w:rsidRDefault="00CD4991" w:rsidP="00CD4991">
      <w:pPr>
        <w:numPr>
          <w:ilvl w:val="0"/>
          <w:numId w:val="4"/>
        </w:numPr>
      </w:pPr>
      <w:r w:rsidRPr="00CD4991">
        <w:rPr>
          <w:b/>
          <w:bCs/>
        </w:rPr>
        <w:t>Anwendung:</w:t>
      </w:r>
      <w:r w:rsidRPr="00CD4991">
        <w:t xml:space="preserve"> Ein GMM kann beispielsweise verwendet werden, um Aktien basierend auf ihren historischen Volatilitätsprofilen zu clustern und für jedes Cluster unterschiedliche Strategieparameter zu definieren. Studien zeigen, dass eine solche Segmentierung kausale Inferenzpipelines verbessern kann.</w:t>
      </w:r>
      <w:r w:rsidRPr="00CD4991">
        <w:rPr>
          <w:vertAlign w:val="superscript"/>
        </w:rPr>
        <w:t>25</w:t>
      </w:r>
    </w:p>
    <w:p w14:paraId="60B6E228" w14:textId="77777777" w:rsidR="00CD4991" w:rsidRPr="00CD4991" w:rsidRDefault="00CD4991" w:rsidP="00CD4991">
      <w:pPr>
        <w:rPr>
          <w:b/>
          <w:bCs/>
        </w:rPr>
      </w:pPr>
      <w:r w:rsidRPr="00CD4991">
        <w:rPr>
          <w:b/>
          <w:bCs/>
        </w:rPr>
        <w:t>3.2.3. Statistische Jump-Modelle (JM)</w:t>
      </w:r>
    </w:p>
    <w:p w14:paraId="630EFC7C" w14:textId="77777777" w:rsidR="00CD4991" w:rsidRPr="00CD4991" w:rsidRDefault="00CD4991" w:rsidP="00CD4991">
      <w:r w:rsidRPr="00CD4991">
        <w:t>Neuere Forschungen schlagen "Statistical Jump Models" vor, die explizite Strafen (Penalties) für Zustandswechsel einführen. Dies adressiert das Problem des "Flackerns" (rapid switching) zwischen Regimes, das bei sensiblen HMMs oft auftritt und zu übermäßigen Transaktionskosten führt. Durch die Bestrafung von Sprüngen liefern JMs oft stabilere und robustere Signale für Investmentstrategien.</w:t>
      </w:r>
      <w:r w:rsidRPr="00CD4991">
        <w:rPr>
          <w:vertAlign w:val="superscript"/>
        </w:rPr>
        <w:t>26</w:t>
      </w:r>
    </w:p>
    <w:p w14:paraId="50F906B9" w14:textId="77777777" w:rsidR="00CD4991" w:rsidRPr="00CD4991" w:rsidRDefault="00CD4991" w:rsidP="00CD4991">
      <w:pPr>
        <w:rPr>
          <w:b/>
          <w:bCs/>
        </w:rPr>
      </w:pPr>
      <w:r w:rsidRPr="00CD4991">
        <w:rPr>
          <w:b/>
          <w:bCs/>
        </w:rPr>
        <w:t>3.3. Indikatoren-Sets für spezifische Regimes: Adaptive Strategie-Selektion</w:t>
      </w:r>
    </w:p>
    <w:p w14:paraId="7C83D3B3" w14:textId="77777777" w:rsidR="00CD4991" w:rsidRPr="00CD4991" w:rsidRDefault="00CD4991" w:rsidP="00CD4991">
      <w:r w:rsidRPr="00CD4991">
        <w:t xml:space="preserve">Ein optimiertes Handelssystem nutzt die Regime-Erkennung nicht nur als passiven Informationsmonitor, sondern passt seine aktiven Indikatoren und Risikoparameter dynamisch an. Die folgende Tabelle illustriert, welche Indikatoren und Strategien in den jeweiligen Regimes priorisiert werden sollten </w:t>
      </w:r>
      <w:r w:rsidRPr="00CD4991">
        <w:rPr>
          <w:vertAlign w:val="superscript"/>
        </w:rPr>
        <w:t>18</w:t>
      </w:r>
      <w:r w:rsidRPr="00CD4991">
        <w:t>:</w:t>
      </w:r>
    </w:p>
    <w:tbl>
      <w:tblPr>
        <w:tblW w:w="0" w:type="auto"/>
        <w:tblCellSpacing w:w="15" w:type="dxa"/>
        <w:tblCellMar>
          <w:left w:w="0" w:type="dxa"/>
          <w:right w:w="0" w:type="dxa"/>
        </w:tblCellMar>
        <w:tblLook w:val="04A0" w:firstRow="1" w:lastRow="0" w:firstColumn="1" w:lastColumn="0" w:noHBand="0" w:noVBand="1"/>
      </w:tblPr>
      <w:tblGrid>
        <w:gridCol w:w="1665"/>
        <w:gridCol w:w="1844"/>
        <w:gridCol w:w="2734"/>
        <w:gridCol w:w="2813"/>
      </w:tblGrid>
      <w:tr w:rsidR="00CD4991" w:rsidRPr="00CD4991" w14:paraId="1605E106"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5D7AD4" w14:textId="77777777" w:rsidR="00CD4991" w:rsidRPr="00CD4991" w:rsidRDefault="00CD4991" w:rsidP="00CD4991">
            <w:r w:rsidRPr="00CD4991">
              <w:rPr>
                <w:b/>
                <w:bCs/>
              </w:rPr>
              <w:lastRenderedPageBreak/>
              <w:t>Regime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3DFA25" w14:textId="77777777" w:rsidR="00CD4991" w:rsidRPr="00CD4991" w:rsidRDefault="00CD4991" w:rsidP="00CD4991">
            <w:r w:rsidRPr="00CD4991">
              <w:rPr>
                <w:b/>
                <w:bCs/>
              </w:rPr>
              <w:t>Primäre Indikatoren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B24332" w14:textId="77777777" w:rsidR="00CD4991" w:rsidRPr="00CD4991" w:rsidRDefault="00CD4991" w:rsidP="00CD4991">
            <w:r w:rsidRPr="00CD4991">
              <w:rPr>
                <w:b/>
                <w:bCs/>
              </w:rPr>
              <w:t>Strategie-Typ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C8A243" w14:textId="77777777" w:rsidR="00CD4991" w:rsidRPr="00CD4991" w:rsidRDefault="00CD4991" w:rsidP="00CD4991">
            <w:r w:rsidRPr="00CD4991">
              <w:rPr>
                <w:b/>
                <w:bCs/>
              </w:rPr>
              <w:t>Risikomanagement &amp; Exit-Logik</w:t>
            </w:r>
          </w:p>
        </w:tc>
      </w:tr>
      <w:tr w:rsidR="00CD4991" w:rsidRPr="00CD4991" w14:paraId="47EA08B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96603E" w14:textId="77777777" w:rsidR="00CD4991" w:rsidRPr="00CD4991" w:rsidRDefault="00CD4991" w:rsidP="00CD4991">
            <w:r w:rsidRPr="00CD4991">
              <w:rPr>
                <w:b/>
                <w:bCs/>
              </w:rPr>
              <w:t>Trending (Bull/Bear)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F72C25" w14:textId="77777777" w:rsidR="00CD4991" w:rsidRPr="00CD4991" w:rsidRDefault="00CD4991" w:rsidP="00CD4991">
            <w:r w:rsidRPr="00CD4991">
              <w:t>Moving Averages (EMA, SMA), MACD, ADX</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6590F0" w14:textId="77777777" w:rsidR="00CD4991" w:rsidRPr="00CD4991" w:rsidRDefault="00CD4991" w:rsidP="00CD4991">
            <w:r w:rsidRPr="00CD4991">
              <w:t>Trend-Following, Breakout, Pullback-Käufe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7606A7" w14:textId="77777777" w:rsidR="00CD4991" w:rsidRPr="00CD4991" w:rsidRDefault="00CD4991" w:rsidP="00CD4991">
            <w:r w:rsidRPr="00CD4991">
              <w:t>Trailing Stops (um Gewinne laufen zu lassen), Pyramidisierung (Aufstocken) bei Bestätigung.</w:t>
            </w:r>
          </w:p>
        </w:tc>
      </w:tr>
      <w:tr w:rsidR="00CD4991" w:rsidRPr="00CD4991" w14:paraId="6B4CBB8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5E0CDA" w14:textId="77777777" w:rsidR="00CD4991" w:rsidRPr="00CD4991" w:rsidRDefault="00CD4991" w:rsidP="00CD4991">
            <w:r w:rsidRPr="00CD4991">
              <w:rPr>
                <w:b/>
                <w:bCs/>
              </w:rPr>
              <w:t>Range-Bound (Sideways)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20115D" w14:textId="77777777" w:rsidR="00CD4991" w:rsidRPr="00CD4991" w:rsidRDefault="00CD4991" w:rsidP="00CD4991">
            <w:r w:rsidRPr="00CD4991">
              <w:t>RSI, Bollinger Bands, Stochastic Oscillator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46F487" w14:textId="77777777" w:rsidR="00CD4991" w:rsidRPr="00CD4991" w:rsidRDefault="00CD4991" w:rsidP="00CD4991">
            <w:r w:rsidRPr="00CD4991">
              <w:t>Mean Reversion, Grid Trading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1FAD6B" w14:textId="77777777" w:rsidR="00CD4991" w:rsidRPr="00CD4991" w:rsidRDefault="00CD4991" w:rsidP="00CD4991">
            <w:r w:rsidRPr="00CD4991">
              <w:t>Feste Stop-Losses knapp außerhalb der Range, Profit Targets an den Band-Rändern.</w:t>
            </w:r>
            <w:r w:rsidRPr="00CD4991">
              <w:rPr>
                <w:vertAlign w:val="superscript"/>
              </w:rPr>
              <w:t>28</w:t>
            </w:r>
          </w:p>
        </w:tc>
      </w:tr>
      <w:tr w:rsidR="00CD4991" w:rsidRPr="00CD4991" w14:paraId="3670287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C4470B" w14:textId="77777777" w:rsidR="00CD4991" w:rsidRPr="00CD4991" w:rsidRDefault="00CD4991" w:rsidP="00CD4991">
            <w:r w:rsidRPr="00CD4991">
              <w:rPr>
                <w:b/>
                <w:bCs/>
              </w:rPr>
              <w:t>High Volatility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E678FD" w14:textId="77777777" w:rsidR="00CD4991" w:rsidRPr="00CD4991" w:rsidRDefault="00CD4991" w:rsidP="00CD4991">
            <w:r w:rsidRPr="00CD4991">
              <w:t>ATR (Average True Range), Keltner Channels, VIX</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BC75D4" w14:textId="77777777" w:rsidR="00CD4991" w:rsidRPr="00CD4991" w:rsidRDefault="00CD4991" w:rsidP="00CD4991">
            <w:r w:rsidRPr="00CD4991">
              <w:t>Volatility Breakout, Optionsstrategien (Straddles/Strangles)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00F97D" w14:textId="77777777" w:rsidR="00CD4991" w:rsidRPr="00CD4991" w:rsidRDefault="00CD4991" w:rsidP="00CD4991">
            <w:r w:rsidRPr="00CD4991">
              <w:t>Reduzierte Positionsgröße (Volatility Scaling) basierend auf hohem ATR.</w:t>
            </w:r>
            <w:r w:rsidRPr="00CD4991">
              <w:rPr>
                <w:vertAlign w:val="superscript"/>
              </w:rPr>
              <w:t>30</w:t>
            </w:r>
          </w:p>
        </w:tc>
      </w:tr>
      <w:tr w:rsidR="00CD4991" w:rsidRPr="00CD4991" w14:paraId="4859744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CC76F5" w14:textId="77777777" w:rsidR="00CD4991" w:rsidRPr="00CD4991" w:rsidRDefault="00CD4991" w:rsidP="00CD4991">
            <w:r w:rsidRPr="00CD4991">
              <w:rPr>
                <w:b/>
                <w:bCs/>
              </w:rPr>
              <w:t>Transition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FC4ACD" w14:textId="77777777" w:rsidR="00CD4991" w:rsidRPr="00CD4991" w:rsidRDefault="00CD4991" w:rsidP="00CD4991">
            <w:r w:rsidRPr="00CD4991">
              <w:t>Divergenzen (RSI/Preis), Volumen-Analyse, Order Flow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CE8458" w14:textId="77777777" w:rsidR="00CD4991" w:rsidRPr="00CD4991" w:rsidRDefault="00CD4991" w:rsidP="00CD4991">
            <w:r w:rsidRPr="00CD4991">
              <w:t>Cash / Hedging / Neutral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B81710" w14:textId="77777777" w:rsidR="00CD4991" w:rsidRPr="00CD4991" w:rsidRDefault="00CD4991" w:rsidP="00CD4991">
            <w:r w:rsidRPr="00CD4991">
              <w:t>Aggressive Risikoreduktion, Warten auf Bestätigung durch Volumen oder Regime-Wechsel.</w:t>
            </w:r>
          </w:p>
        </w:tc>
      </w:tr>
    </w:tbl>
    <w:p w14:paraId="2ACF0C8E" w14:textId="77777777" w:rsidR="00CD4991" w:rsidRPr="00CD4991" w:rsidRDefault="00CD4991" w:rsidP="00CD4991">
      <w:r w:rsidRPr="00CD4991">
        <w:t xml:space="preserve">Die Integration dieser Regime-Filter verhindert systematisch, dass beispielsweise ein Trendfolger in einem Seitwärtsmarkt "zerhackt" wird. Anstatt Signale stur zu exekutieren, prüft der Algorithmus: </w:t>
      </w:r>
      <w:r w:rsidRPr="00CD4991">
        <w:rPr>
          <w:i/>
          <w:iCs/>
        </w:rPr>
        <w:t>Ist das aktuelle Regime kompatibel mit der Logik dieses Signals?</w:t>
      </w:r>
      <w:r w:rsidRPr="00CD4991">
        <w:t xml:space="preserve"> Wenn nein, wird das Signal unterdrückt oder nur mit minimalem Risiko gehandelt.</w:t>
      </w:r>
    </w:p>
    <w:p w14:paraId="64217CF9" w14:textId="77777777" w:rsidR="00CD4991" w:rsidRPr="00CD4991" w:rsidRDefault="00CD4991" w:rsidP="00CD4991">
      <w:r w:rsidRPr="00CD4991">
        <w:pict w14:anchorId="3031D338">
          <v:rect id="_x0000_i1063" style="width:0;height:1.5pt" o:hralign="center" o:hrstd="t" o:hrnoshade="t" o:hr="t" fillcolor="gray" stroked="f"/>
        </w:pict>
      </w:r>
    </w:p>
    <w:p w14:paraId="73C4510B" w14:textId="77777777" w:rsidR="00CD4991" w:rsidRPr="00CD4991" w:rsidRDefault="00CD4991" w:rsidP="00CD4991">
      <w:pPr>
        <w:rPr>
          <w:b/>
          <w:bCs/>
        </w:rPr>
      </w:pPr>
      <w:r w:rsidRPr="00CD4991">
        <w:rPr>
          <w:b/>
          <w:bCs/>
        </w:rPr>
        <w:t>4. KI-Integration: LLMs, Neuro-Symbolik und Agenten</w:t>
      </w:r>
    </w:p>
    <w:p w14:paraId="4D66051D" w14:textId="77777777" w:rsidR="00CD4991" w:rsidRPr="00CD4991" w:rsidRDefault="00CD4991" w:rsidP="00CD4991">
      <w:r w:rsidRPr="00CD4991">
        <w:t xml:space="preserve">Die Integration von Künstlicher Intelligenz, insbesondere von Large Language Models (LLMs), markiert einen Paradigmenwechsel in der Finanzanalyse. Während traditionelle quantitative Modelle (wie ARIMA oder LSTM) primär auf numerischen Zeitreihen </w:t>
      </w:r>
      <w:r w:rsidRPr="00CD4991">
        <w:lastRenderedPageBreak/>
        <w:t>operieren, fungiert moderne KI als kognitiver Agent, der qualitative (Text) und quantitative (Zahlen) Daten fusioniert und sogar visuelle Informationen verarbeiten kann.</w:t>
      </w:r>
    </w:p>
    <w:p w14:paraId="5DDEF596" w14:textId="77777777" w:rsidR="00CD4991" w:rsidRPr="00CD4991" w:rsidRDefault="00CD4991" w:rsidP="00CD4991">
      <w:pPr>
        <w:rPr>
          <w:b/>
          <w:bCs/>
        </w:rPr>
      </w:pPr>
      <w:r w:rsidRPr="00CD4991">
        <w:rPr>
          <w:b/>
          <w:bCs/>
        </w:rPr>
        <w:t>4.1. LLMs als Finanzanalysten und Multimodale Analyse</w:t>
      </w:r>
    </w:p>
    <w:p w14:paraId="4D806358" w14:textId="77777777" w:rsidR="00CD4991" w:rsidRPr="00CD4991" w:rsidRDefault="00CD4991" w:rsidP="00CD4991">
      <w:r w:rsidRPr="00CD4991">
        <w:t>Moderne LLMs (wie GPT-4 oder Gemini) besitzen multimodale Fähigkeiten, die es ihnen ermöglichen, Charts visuell zu interpretieren. Dies ist ein gewaltiger Fortschritt gegenüber rein textbasierten Modellen. Sie können technische Formationen identifizieren, die für regelbasierte Algorithmen schwer zu definieren sind (z.B. komplexe Trendlinienbrüche oder subjektive Muster), und diese als "Second Opinion" validieren.</w:t>
      </w:r>
      <w:r w:rsidRPr="00CD4991">
        <w:rPr>
          <w:vertAlign w:val="superscript"/>
        </w:rPr>
        <w:t>4</w:t>
      </w:r>
    </w:p>
    <w:p w14:paraId="516FF75E" w14:textId="77777777" w:rsidR="00CD4991" w:rsidRPr="00CD4991" w:rsidRDefault="00CD4991" w:rsidP="00CD4991">
      <w:pPr>
        <w:numPr>
          <w:ilvl w:val="0"/>
          <w:numId w:val="5"/>
        </w:numPr>
      </w:pPr>
      <w:r w:rsidRPr="00CD4991">
        <w:rPr>
          <w:b/>
          <w:bCs/>
        </w:rPr>
        <w:t>Visual Reasoning:</w:t>
      </w:r>
      <w:r w:rsidRPr="00CD4991">
        <w:t xml:space="preserve"> LLMs können Preischarts analysieren, Unterstützung- und Widerstandsniveaus visuell validieren und Trendlinien bestätigen. Sie erkennen Nuancen in der Chartstruktur, die einem rein mathematischen "Pattern Scan" entgehen könnten.</w:t>
      </w:r>
      <w:r w:rsidRPr="00CD4991">
        <w:rPr>
          <w:vertAlign w:val="superscript"/>
        </w:rPr>
        <w:t>32</w:t>
      </w:r>
    </w:p>
    <w:p w14:paraId="4F71A72A" w14:textId="77777777" w:rsidR="00CD4991" w:rsidRPr="00CD4991" w:rsidRDefault="00CD4991" w:rsidP="00CD4991">
      <w:pPr>
        <w:numPr>
          <w:ilvl w:val="0"/>
          <w:numId w:val="5"/>
        </w:numPr>
      </w:pPr>
      <w:r w:rsidRPr="00CD4991">
        <w:rPr>
          <w:b/>
          <w:bCs/>
        </w:rPr>
        <w:t>Sentiment-Integration:</w:t>
      </w:r>
      <w:r w:rsidRPr="00CD4991">
        <w:t xml:space="preserve"> Durch die Analyse von unstrukturierten Datenquellen wie Nachrichten (News), Earnings Call Transcripts und Social Media Sentiment können LLMs den Kontext für technische Muster liefern. Ein technisches "Bull Flag"-Muster hat eine signifikant höhere Erfolgswahrscheinlichkeit, wenn es von positiven fundamentalen Nachrichten oder einem optimistischen Analysten-Sentiment begleitet wird.</w:t>
      </w:r>
      <w:r w:rsidRPr="00CD4991">
        <w:rPr>
          <w:vertAlign w:val="superscript"/>
        </w:rPr>
        <w:t>4</w:t>
      </w:r>
      <w:r w:rsidRPr="00CD4991">
        <w:t xml:space="preserve"> Multi-Agenten-Systeme können hierbei spezialisierte Rollen einnehmen: Ein Agent analysiert den Chart, ein anderer die News, und ein dritter (der "Meta-Controller") trifft die Handelsentscheidung.</w:t>
      </w:r>
      <w:r w:rsidRPr="00CD4991">
        <w:rPr>
          <w:vertAlign w:val="superscript"/>
        </w:rPr>
        <w:t>19</w:t>
      </w:r>
    </w:p>
    <w:p w14:paraId="5626E42D" w14:textId="77777777" w:rsidR="00CD4991" w:rsidRPr="00CD4991" w:rsidRDefault="00CD4991" w:rsidP="00CD4991">
      <w:pPr>
        <w:rPr>
          <w:b/>
          <w:bCs/>
        </w:rPr>
      </w:pPr>
      <w:r w:rsidRPr="00CD4991">
        <w:rPr>
          <w:b/>
          <w:bCs/>
        </w:rPr>
        <w:t>4.2. Das Halluzinations-Problem und die Lösung durch Function Calling</w:t>
      </w:r>
    </w:p>
    <w:p w14:paraId="2D0C7E19" w14:textId="77777777" w:rsidR="00CD4991" w:rsidRPr="00CD4991" w:rsidRDefault="00CD4991" w:rsidP="00CD4991">
      <w:r w:rsidRPr="00CD4991">
        <w:t>Ein gravierendes Risiko bei der Nutzung von LLMs im Finanzbereich ist die "Halluzination" – das Erfinden von Fakten oder falschen Berechnungen. Studien zeigen, dass LLMs bei direkten numerischen Analysen oder der Extraktion von Daten aus Finanzberichten Fehlerraten von über 15% aufweisen können.</w:t>
      </w:r>
      <w:r w:rsidRPr="00CD4991">
        <w:rPr>
          <w:vertAlign w:val="superscript"/>
        </w:rPr>
        <w:t>5</w:t>
      </w:r>
      <w:r w:rsidRPr="00CD4991">
        <w:t xml:space="preserve"> Ein Modell könnte selbstbewusst behaupten, der RSI liege bei 75, obwohl er tatsächlich bei 45 liegt, einfach weil es "plausibel" klingt.</w:t>
      </w:r>
    </w:p>
    <w:p w14:paraId="534E4033" w14:textId="77777777" w:rsidR="00CD4991" w:rsidRPr="00CD4991" w:rsidRDefault="00CD4991" w:rsidP="00CD4991">
      <w:r w:rsidRPr="00CD4991">
        <w:t>Lösung: Function Calling (Tool Use)</w:t>
      </w:r>
    </w:p>
    <w:p w14:paraId="7C01CA6D" w14:textId="77777777" w:rsidR="00CD4991" w:rsidRPr="00CD4991" w:rsidRDefault="00CD4991" w:rsidP="00CD4991">
      <w:r w:rsidRPr="00CD4991">
        <w:t>Um dieses Risiko zu eliminieren, wird das LLM nicht als "Taschenrechner", sondern als Orchestrator eingesetzt. Anstatt zu rechnen, generiert das Modell einen strukturierten Aufruf für eine deterministische Code-Funktion.</w:t>
      </w:r>
    </w:p>
    <w:p w14:paraId="6BBFB8FF" w14:textId="77777777" w:rsidR="00CD4991" w:rsidRPr="00CD4991" w:rsidRDefault="00CD4991" w:rsidP="00CD4991">
      <w:pPr>
        <w:numPr>
          <w:ilvl w:val="0"/>
          <w:numId w:val="6"/>
        </w:numPr>
      </w:pPr>
      <w:r w:rsidRPr="00CD4991">
        <w:rPr>
          <w:b/>
          <w:bCs/>
        </w:rPr>
        <w:t>Workflow:</w:t>
      </w:r>
    </w:p>
    <w:p w14:paraId="35290327" w14:textId="77777777" w:rsidR="00CD4991" w:rsidRPr="00CD4991" w:rsidRDefault="00CD4991" w:rsidP="00CD4991">
      <w:pPr>
        <w:numPr>
          <w:ilvl w:val="1"/>
          <w:numId w:val="6"/>
        </w:numPr>
      </w:pPr>
      <w:r w:rsidRPr="00CD4991">
        <w:t>Der Nutzer (oder das System) fragt: "Ist der RSI von Apple überkauft?"</w:t>
      </w:r>
    </w:p>
    <w:p w14:paraId="016AB408" w14:textId="77777777" w:rsidR="00CD4991" w:rsidRPr="00CD4991" w:rsidRDefault="00CD4991" w:rsidP="00CD4991">
      <w:pPr>
        <w:numPr>
          <w:ilvl w:val="1"/>
          <w:numId w:val="6"/>
        </w:numPr>
      </w:pPr>
      <w:r w:rsidRPr="00CD4991">
        <w:t>Das LLM erkennt, dass es Daten benötigt, und generiert einen Funktionsaufruf im JSON-Format: {"function": "calculate_rsi", "parameters": {"ticker": "AAPL", "period": 14}}.</w:t>
      </w:r>
    </w:p>
    <w:p w14:paraId="7589479B" w14:textId="77777777" w:rsidR="00CD4991" w:rsidRPr="00CD4991" w:rsidRDefault="00CD4991" w:rsidP="00CD4991">
      <w:pPr>
        <w:numPr>
          <w:ilvl w:val="1"/>
          <w:numId w:val="6"/>
        </w:numPr>
      </w:pPr>
      <w:r w:rsidRPr="00CD4991">
        <w:lastRenderedPageBreak/>
        <w:t>Ein Python-Skript führt diesen Aufruf auf verifizierten Marktdaten aus und berechnet den exakten Wert (z.B. 72.5).</w:t>
      </w:r>
    </w:p>
    <w:p w14:paraId="2E8D0810" w14:textId="77777777" w:rsidR="00CD4991" w:rsidRPr="00CD4991" w:rsidRDefault="00CD4991" w:rsidP="00CD4991">
      <w:pPr>
        <w:numPr>
          <w:ilvl w:val="1"/>
          <w:numId w:val="6"/>
        </w:numPr>
      </w:pPr>
      <w:r w:rsidRPr="00CD4991">
        <w:t>Das Ergebnis wird an das LLM zurückgegeben.</w:t>
      </w:r>
    </w:p>
    <w:p w14:paraId="737B0B7A" w14:textId="77777777" w:rsidR="00CD4991" w:rsidRPr="00CD4991" w:rsidRDefault="00CD4991" w:rsidP="00CD4991">
      <w:pPr>
        <w:numPr>
          <w:ilvl w:val="1"/>
          <w:numId w:val="6"/>
        </w:numPr>
      </w:pPr>
      <w:r w:rsidRPr="00CD4991">
        <w:t>Das LLM formuliert die Antwort basierend auf dem korrekten Wert: "Ja, der RSI von Apple liegt bei 72.5, was auf einen überkauften Zustand hindeutet.".</w:t>
      </w:r>
      <w:r w:rsidRPr="00CD4991">
        <w:rPr>
          <w:vertAlign w:val="superscript"/>
        </w:rPr>
        <w:t>6</w:t>
      </w:r>
    </w:p>
    <w:p w14:paraId="527433F7" w14:textId="77777777" w:rsidR="00CD4991" w:rsidRPr="00CD4991" w:rsidRDefault="00CD4991" w:rsidP="00CD4991">
      <w:r w:rsidRPr="00CD4991">
        <w:t>Dieser Ansatz verbindet die sprachliche Intelligenz des LLMs mit der mathematischen Präzision von Code und ist essentiell für vertrauenswürdige Finanzanwendungen.</w:t>
      </w:r>
      <w:r w:rsidRPr="00CD4991">
        <w:rPr>
          <w:vertAlign w:val="superscript"/>
        </w:rPr>
        <w:t>38</w:t>
      </w:r>
    </w:p>
    <w:p w14:paraId="4EFA7341" w14:textId="77777777" w:rsidR="00CD4991" w:rsidRPr="00CD4991" w:rsidRDefault="00CD4991" w:rsidP="00CD4991">
      <w:pPr>
        <w:rPr>
          <w:b/>
          <w:bCs/>
        </w:rPr>
      </w:pPr>
      <w:r w:rsidRPr="00CD4991">
        <w:rPr>
          <w:b/>
          <w:bCs/>
        </w:rPr>
        <w:t>4.3. Neuro-Symbolische KI: Die Synthese aus Logik und Lernen</w:t>
      </w:r>
    </w:p>
    <w:p w14:paraId="79246D5C" w14:textId="77777777" w:rsidR="00CD4991" w:rsidRPr="00CD4991" w:rsidRDefault="00CD4991" w:rsidP="00CD4991">
      <w:r w:rsidRPr="00CD4991">
        <w:t xml:space="preserve">Im institutionellen Handel ist "Black-Box"-KI oft inakzeptabel. Risikomanager müssen verstehen, </w:t>
      </w:r>
      <w:r w:rsidRPr="00CD4991">
        <w:rPr>
          <w:i/>
          <w:iCs/>
        </w:rPr>
        <w:t>warum</w:t>
      </w:r>
      <w:r w:rsidRPr="00CD4991">
        <w:t xml:space="preserve"> eine Entscheidung getroffen wurde. Neuro-symbolische Systeme bieten hier eine Lösung, indem sie die Lernfähigkeit neuronaler Netze (Deep Learning) mit der logischen Strenge symbolischer KI (regelbasierte Systeme) kombinieren.</w:t>
      </w:r>
      <w:r w:rsidRPr="00CD4991">
        <w:rPr>
          <w:vertAlign w:val="superscript"/>
        </w:rPr>
        <w:t>40</w:t>
      </w:r>
    </w:p>
    <w:p w14:paraId="05846015" w14:textId="77777777" w:rsidR="00CD4991" w:rsidRPr="00CD4991" w:rsidRDefault="00CD4991" w:rsidP="00CD4991">
      <w:pPr>
        <w:numPr>
          <w:ilvl w:val="0"/>
          <w:numId w:val="7"/>
        </w:numPr>
      </w:pPr>
      <w:r w:rsidRPr="00CD4991">
        <w:rPr>
          <w:b/>
          <w:bCs/>
        </w:rPr>
        <w:t>Constraint Enforcement:</w:t>
      </w:r>
      <w:r w:rsidRPr="00CD4991">
        <w:t xml:space="preserve"> Ein reines neuronales Netz könnte lernen, in extrem volatilen Phasen hohe Risiken einzugehen, weil dies in den Trainingsdaten zufällig profitabel war. Ein neuro-symbolisches System hingegen kann harte logische Constraints (Regeln) durchsetzen, die nicht überschrieben werden dürfen.</w:t>
      </w:r>
    </w:p>
    <w:p w14:paraId="4266AA45" w14:textId="77777777" w:rsidR="00CD4991" w:rsidRPr="00CD4991" w:rsidRDefault="00CD4991" w:rsidP="00CD4991">
      <w:pPr>
        <w:numPr>
          <w:ilvl w:val="0"/>
          <w:numId w:val="7"/>
        </w:numPr>
      </w:pPr>
      <w:r w:rsidRPr="00CD4991">
        <w:rPr>
          <w:b/>
          <w:bCs/>
        </w:rPr>
        <w:t>Beispiel:</w:t>
      </w:r>
      <w:r w:rsidRPr="00CD4991">
        <w:t xml:space="preserve"> Eine symbolische Regel könnte lauten: IF Volatility(VIX) &gt; 40 THEN PositionSize = 0. Selbst wenn das neuronale Netz ein starkes Kaufsignal generiert ("Intuition"), blockiert die symbolische Komponente den Trade ("Logik").</w:t>
      </w:r>
      <w:r w:rsidRPr="00CD4991">
        <w:rPr>
          <w:vertAlign w:val="superscript"/>
        </w:rPr>
        <w:t>42</w:t>
      </w:r>
    </w:p>
    <w:p w14:paraId="779EEC15" w14:textId="77777777" w:rsidR="00CD4991" w:rsidRPr="00CD4991" w:rsidRDefault="00CD4991" w:rsidP="00CD4991">
      <w:pPr>
        <w:numPr>
          <w:ilvl w:val="0"/>
          <w:numId w:val="7"/>
        </w:numPr>
      </w:pPr>
      <w:r w:rsidRPr="00CD4991">
        <w:rPr>
          <w:b/>
          <w:bCs/>
        </w:rPr>
        <w:t>Auditierbarkeit:</w:t>
      </w:r>
      <w:r w:rsidRPr="00CD4991">
        <w:t xml:space="preserve"> Diese Hybrid-Architekturen ermöglichen es, die Entscheidungskette nachzuvollziehen. Man kann genau sehen, welche Regel das Signal blockiert oder modifiziert hat, was für Compliance und Post-Trade-Analyse unerlässlich ist.</w:t>
      </w:r>
      <w:r w:rsidRPr="00CD4991">
        <w:rPr>
          <w:vertAlign w:val="superscript"/>
        </w:rPr>
        <w:t>44</w:t>
      </w:r>
    </w:p>
    <w:p w14:paraId="26D3EBB9" w14:textId="77777777" w:rsidR="00CD4991" w:rsidRPr="00CD4991" w:rsidRDefault="00CD4991" w:rsidP="00CD4991">
      <w:r w:rsidRPr="00CD4991">
        <w:t>Zusammenfassend ermöglicht die Integration von KI – insbesondere durch LLMs mit Function Calling und neuro-symbolische Kontrolle – den Bau von Handelssystemen, die nicht nur auf historischen Daten "trainiert" sind, sondern die in Echtzeit "denken", validieren und sich an logische Sicherheitsregeln halten.</w:t>
      </w:r>
    </w:p>
    <w:p w14:paraId="2B06E90E" w14:textId="77777777" w:rsidR="00CD4991" w:rsidRPr="00CD4991" w:rsidRDefault="00CD4991" w:rsidP="00CD4991">
      <w:r w:rsidRPr="00CD4991">
        <w:pict w14:anchorId="0280E09E">
          <v:rect id="_x0000_i1064" style="width:0;height:1.5pt" o:hralign="center" o:hrstd="t" o:hrnoshade="t" o:hr="t" fillcolor="gray" stroked="f"/>
        </w:pict>
      </w:r>
    </w:p>
    <w:p w14:paraId="4327978D" w14:textId="77777777" w:rsidR="00CD4991" w:rsidRPr="00CD4991" w:rsidRDefault="00CD4991" w:rsidP="00CD4991">
      <w:pPr>
        <w:rPr>
          <w:b/>
          <w:bCs/>
        </w:rPr>
      </w:pPr>
      <w:r w:rsidRPr="00CD4991">
        <w:rPr>
          <w:b/>
          <w:bCs/>
        </w:rPr>
        <w:t>5. Signal-Fusion und Optimierung: Das Meta-Labeling-Framework</w:t>
      </w:r>
    </w:p>
    <w:p w14:paraId="60EDD16A" w14:textId="77777777" w:rsidR="00CD4991" w:rsidRPr="00CD4991" w:rsidRDefault="00CD4991" w:rsidP="00CD4991">
      <w:r w:rsidRPr="00CD4991">
        <w:t xml:space="preserve">Die bloße Kombination von Indikatoren führt in der Praxis oft zu Problemen wie Multikollinearität (wenn Indikatoren hoch korreliert sind) und widersprüchlichen Signalen (Conflicting Signals). Viele Trader versuchen, dies durch einfache Filter ("Trade nur wenn RSI &lt; 30 UND MACD &gt; 0") zu lösen, was jedoch oft die Anzahl der Trades so stark reduziert, dass die statistische Signifikanz verloren geht. Die fortschrittlichste </w:t>
      </w:r>
      <w:r w:rsidRPr="00CD4991">
        <w:lastRenderedPageBreak/>
        <w:t xml:space="preserve">Methode zur Optimierung von Signalen in der modernen Finanz-ML ist das von Marcos Lopez de Prado eingeführte </w:t>
      </w:r>
      <w:r w:rsidRPr="00CD4991">
        <w:rPr>
          <w:b/>
          <w:bCs/>
        </w:rPr>
        <w:t>Meta-Labeling</w:t>
      </w:r>
      <w:r w:rsidRPr="00CD4991">
        <w:t>.</w:t>
      </w:r>
    </w:p>
    <w:p w14:paraId="1E87BD81" w14:textId="77777777" w:rsidR="00CD4991" w:rsidRPr="00CD4991" w:rsidRDefault="00CD4991" w:rsidP="00CD4991">
      <w:pPr>
        <w:rPr>
          <w:b/>
          <w:bCs/>
        </w:rPr>
      </w:pPr>
      <w:r w:rsidRPr="00CD4991">
        <w:rPr>
          <w:b/>
          <w:bCs/>
        </w:rPr>
        <w:t>5.1. Konzept des Meta-Labeling: Trennung von Richtung und Größe</w:t>
      </w:r>
    </w:p>
    <w:p w14:paraId="587DCA37" w14:textId="77777777" w:rsidR="00CD4991" w:rsidRPr="00CD4991" w:rsidRDefault="00CD4991" w:rsidP="00CD4991">
      <w:r w:rsidRPr="00CD4991">
        <w:t xml:space="preserve">Traditionelle ML-Modelle im Trading versuchen oft, gleichzeitig die Richtung (Buy/Sell) und die Größe der Position zu lernen (Regression auf Renditen). Dies ist problematisch, da die Faktoren, die die Richtung bestimmen, oft andere sind als die, die die Erfolgswahrscheinlichkeit oder Volatilität bestimmen. Meta-Labeling löst dieses Problem durch eine zweistufige Architektur </w:t>
      </w:r>
      <w:r w:rsidRPr="00CD4991">
        <w:rPr>
          <w:vertAlign w:val="superscript"/>
        </w:rPr>
        <w:t>46</w:t>
      </w:r>
      <w:r w:rsidRPr="00CD4991">
        <w:t>:</w:t>
      </w:r>
    </w:p>
    <w:p w14:paraId="6CC37D57" w14:textId="77777777" w:rsidR="00CD4991" w:rsidRPr="00CD4991" w:rsidRDefault="00CD4991" w:rsidP="00CD4991">
      <w:pPr>
        <w:numPr>
          <w:ilvl w:val="0"/>
          <w:numId w:val="8"/>
        </w:numPr>
      </w:pPr>
      <w:r w:rsidRPr="00CD4991">
        <w:rPr>
          <w:b/>
          <w:bCs/>
        </w:rPr>
        <w:t>Primärmodell (M1):</w:t>
      </w:r>
      <w:r w:rsidRPr="00CD4991">
        <w:t xml:space="preserve"> Dies ist ein Modell mit hohem "Recall" (Sensitivität). Es kann ein einfaches technisches Modell sein (z.B. Moving Average Crossover, Bollinger Band Breakout) oder ein fundamentaler Analyst. Seine Aufgabe ist es lediglich, Kandidaten für Trades zu identifizieren. Es sagt: "Hier </w:t>
      </w:r>
      <w:r w:rsidRPr="00CD4991">
        <w:rPr>
          <w:i/>
          <w:iCs/>
        </w:rPr>
        <w:t>könnte</w:t>
      </w:r>
      <w:r w:rsidRPr="00CD4991">
        <w:t xml:space="preserve"> eine Chance für einen Long-Trade sein." Es darf ruhig viele "False Positives" produzieren.</w:t>
      </w:r>
    </w:p>
    <w:p w14:paraId="22AC58E2" w14:textId="77777777" w:rsidR="00CD4991" w:rsidRPr="00CD4991" w:rsidRDefault="00CD4991" w:rsidP="00CD4991">
      <w:pPr>
        <w:numPr>
          <w:ilvl w:val="0"/>
          <w:numId w:val="8"/>
        </w:numPr>
      </w:pPr>
      <w:r w:rsidRPr="00CD4991">
        <w:rPr>
          <w:b/>
          <w:bCs/>
        </w:rPr>
        <w:t>Sekundärmodell (M2 - Meta-Model):</w:t>
      </w:r>
      <w:r w:rsidRPr="00CD4991">
        <w:t xml:space="preserve"> Dies ist ein komplexes ML-Modell (z.B. Random Forest, Gradient Boosting, XGBoost), das trainiert wird vorherzusagen, </w:t>
      </w:r>
      <w:r w:rsidRPr="00CD4991">
        <w:rPr>
          <w:i/>
          <w:iCs/>
        </w:rPr>
        <w:t>ob das Primärmodell korrekt liegen wird</w:t>
      </w:r>
      <w:r w:rsidRPr="00CD4991">
        <w:t xml:space="preserve">. Der Input für dieses Modell sind nicht nur die Preisdaten, sondern der </w:t>
      </w:r>
      <w:r w:rsidRPr="00CD4991">
        <w:rPr>
          <w:i/>
          <w:iCs/>
        </w:rPr>
        <w:t>Kontext</w:t>
      </w:r>
      <w:r w:rsidRPr="00CD4991">
        <w:t xml:space="preserve"> des Trades. Der Output ist binär (Trade ausführen: Ja/Nein) oder probabilistisch (Wahrscheinlichkeit des Erfolgs).</w:t>
      </w:r>
    </w:p>
    <w:p w14:paraId="48DAADB1" w14:textId="77777777" w:rsidR="00CD4991" w:rsidRPr="00CD4991" w:rsidRDefault="00CD4991" w:rsidP="00CD4991">
      <w:pPr>
        <w:rPr>
          <w:b/>
          <w:bCs/>
        </w:rPr>
      </w:pPr>
      <w:r w:rsidRPr="00CD4991">
        <w:rPr>
          <w:b/>
          <w:bCs/>
        </w:rPr>
        <w:t>5.2. Feature Engineering für Meta-Labeling</w:t>
      </w:r>
    </w:p>
    <w:p w14:paraId="0846461B" w14:textId="77777777" w:rsidR="00CD4991" w:rsidRPr="00CD4991" w:rsidRDefault="00CD4991" w:rsidP="00CD4991">
      <w:r w:rsidRPr="00CD4991">
        <w:t xml:space="preserve">Der entscheidende Vorteil ist, dass das Meta-Modell völlig andere Features (Eingangsdaten) nutzen kann als das Primärmodell. Während M1 vielleicht nur auf den Preis schaut, analysiert M2 das Marktumfeld </w:t>
      </w:r>
      <w:r w:rsidRPr="00CD4991">
        <w:rPr>
          <w:vertAlign w:val="superscript"/>
        </w:rPr>
        <w:t>48</w:t>
      </w:r>
      <w:r w:rsidRPr="00CD4991">
        <w:t>:</w:t>
      </w:r>
    </w:p>
    <w:p w14:paraId="0AFC3561" w14:textId="77777777" w:rsidR="00CD4991" w:rsidRPr="00CD4991" w:rsidRDefault="00CD4991" w:rsidP="00CD4991">
      <w:pPr>
        <w:numPr>
          <w:ilvl w:val="0"/>
          <w:numId w:val="9"/>
        </w:numPr>
      </w:pPr>
      <w:r w:rsidRPr="00CD4991">
        <w:rPr>
          <w:b/>
          <w:bCs/>
        </w:rPr>
        <w:t>Volatilitäts-Features:</w:t>
      </w:r>
      <w:r w:rsidRPr="00CD4991">
        <w:t xml:space="preserve"> VIX, ATR-Verhältnisse, realisierte Volatilität. Das Meta-Modell könnte lernen, dass das Primärmodell bei hoher Volatilität oft versagt.</w:t>
      </w:r>
    </w:p>
    <w:p w14:paraId="08988D3A" w14:textId="77777777" w:rsidR="00CD4991" w:rsidRPr="00CD4991" w:rsidRDefault="00CD4991" w:rsidP="00CD4991">
      <w:pPr>
        <w:numPr>
          <w:ilvl w:val="0"/>
          <w:numId w:val="9"/>
        </w:numPr>
      </w:pPr>
      <w:r w:rsidRPr="00CD4991">
        <w:rPr>
          <w:b/>
          <w:bCs/>
        </w:rPr>
        <w:t>Regime-Features:</w:t>
      </w:r>
      <w:r w:rsidRPr="00CD4991">
        <w:t xml:space="preserve"> Wahrscheinlichkeiten aus dem HMM oder GMM (z.B. "Probability of Bear Regime"). Ein Long-Signal (M1) in einem Bären-Regime (M2-Feature) würde wahrscheinlich eine niedrige Erfolgswahrscheinlichkeit erhalten.</w:t>
      </w:r>
    </w:p>
    <w:p w14:paraId="5F6EAC61" w14:textId="77777777" w:rsidR="00CD4991" w:rsidRPr="00CD4991" w:rsidRDefault="00CD4991" w:rsidP="00CD4991">
      <w:pPr>
        <w:numPr>
          <w:ilvl w:val="0"/>
          <w:numId w:val="9"/>
        </w:numPr>
      </w:pPr>
      <w:r w:rsidRPr="00CD4991">
        <w:rPr>
          <w:b/>
          <w:bCs/>
        </w:rPr>
        <w:t>Mikrostruktur-Daten:</w:t>
      </w:r>
      <w:r w:rsidRPr="00CD4991">
        <w:t xml:space="preserve"> Bid-Ask-Spread, Orderbuch-Ungleichgewichte (Order Flow Imbalance), Volumen-Profile.</w:t>
      </w:r>
    </w:p>
    <w:p w14:paraId="33D7FBED" w14:textId="77777777" w:rsidR="00CD4991" w:rsidRPr="00CD4991" w:rsidRDefault="00CD4991" w:rsidP="00CD4991">
      <w:pPr>
        <w:numPr>
          <w:ilvl w:val="0"/>
          <w:numId w:val="9"/>
        </w:numPr>
      </w:pPr>
      <w:r w:rsidRPr="00CD4991">
        <w:rPr>
          <w:b/>
          <w:bCs/>
        </w:rPr>
        <w:t>Fundamentale Daten:</w:t>
      </w:r>
      <w:r w:rsidRPr="00CD4991">
        <w:t xml:space="preserve"> Das Meta-Modell kann auch fundamentale Faktoren (Cross-Sectional Factors) einbeziehen, wie Eugene Fama und Ken French zeigten.</w:t>
      </w:r>
      <w:r w:rsidRPr="00CD4991">
        <w:rPr>
          <w:vertAlign w:val="superscript"/>
        </w:rPr>
        <w:t>48</w:t>
      </w:r>
    </w:p>
    <w:p w14:paraId="7FE88225" w14:textId="77777777" w:rsidR="00CD4991" w:rsidRPr="00CD4991" w:rsidRDefault="00CD4991" w:rsidP="00CD4991">
      <w:r w:rsidRPr="00CD4991">
        <w:rPr>
          <w:b/>
          <w:bCs/>
        </w:rPr>
        <w:t>Beispiel-Logik:</w:t>
      </w:r>
      <w:r w:rsidRPr="00CD4991">
        <w:t xml:space="preserve"> Das Primärmodell (M1) generiert ein Kaufsignal, weil der Preis über den 200-Tage-Durchschnitt steigt. Das Meta-Modell (M2) analysiert die Situation: "Die Volatilität (VIX) ist extrem hoch (35), wir befinden uns laut HMM in einem Crash-Regime, und das Volumen ist niedrig." Das Meta-Modell gibt eine Wahrscheinlichkeit von nur 20% </w:t>
      </w:r>
      <w:r w:rsidRPr="00CD4991">
        <w:lastRenderedPageBreak/>
        <w:t>für einen Erfolg aus. Ergebnis: Der Trade wird gefiltert oder die Positionsgröße massiv reduziert.</w:t>
      </w:r>
    </w:p>
    <w:p w14:paraId="15D5B77C" w14:textId="77777777" w:rsidR="00CD4991" w:rsidRPr="00CD4991" w:rsidRDefault="00CD4991" w:rsidP="00CD4991">
      <w:pPr>
        <w:rPr>
          <w:b/>
          <w:bCs/>
        </w:rPr>
      </w:pPr>
      <w:r w:rsidRPr="00CD4991">
        <w:rPr>
          <w:b/>
          <w:bCs/>
        </w:rPr>
        <w:t>5.3. Performance-Steigerung durch Meta-Labeling</w:t>
      </w:r>
    </w:p>
    <w:p w14:paraId="42ECD535" w14:textId="77777777" w:rsidR="00CD4991" w:rsidRPr="00CD4991" w:rsidRDefault="00CD4991" w:rsidP="00CD4991">
      <w:r w:rsidRPr="00CD4991">
        <w:t xml:space="preserve">Empirische Backtests und Berichte von Praktikern zeigen konsistent, dass Meta-Labeling die </w:t>
      </w:r>
      <w:r w:rsidRPr="00CD4991">
        <w:rPr>
          <w:b/>
          <w:bCs/>
        </w:rPr>
        <w:t>Gewinnrate (Win Rate)</w:t>
      </w:r>
      <w:r w:rsidRPr="00CD4991">
        <w:t xml:space="preserve"> typischerweise um einige Prozentpunkte (z.B. 1-3%) steigern kann. Dies mag gering klingen, hat aber massive Auswirkungen auf die Portfoliokennzahlen:</w:t>
      </w:r>
    </w:p>
    <w:p w14:paraId="12BC1ED5" w14:textId="77777777" w:rsidR="00CD4991" w:rsidRPr="00CD4991" w:rsidRDefault="00CD4991" w:rsidP="00CD4991">
      <w:pPr>
        <w:numPr>
          <w:ilvl w:val="0"/>
          <w:numId w:val="10"/>
        </w:numPr>
      </w:pPr>
      <w:r w:rsidRPr="00CD4991">
        <w:rPr>
          <w:b/>
          <w:bCs/>
        </w:rPr>
        <w:t>Sharpe Ratio:</w:t>
      </w:r>
      <w:r w:rsidRPr="00CD4991">
        <w:t xml:space="preserve"> Durch das Ausfiltern der schlechtesten Trades steigt die risikoadjustierte Rendite deutlich an.</w:t>
      </w:r>
    </w:p>
    <w:p w14:paraId="55F79D48" w14:textId="77777777" w:rsidR="00CD4991" w:rsidRPr="00CD4991" w:rsidRDefault="00CD4991" w:rsidP="00CD4991">
      <w:pPr>
        <w:numPr>
          <w:ilvl w:val="0"/>
          <w:numId w:val="10"/>
        </w:numPr>
      </w:pPr>
      <w:r w:rsidRPr="00CD4991">
        <w:rPr>
          <w:b/>
          <w:bCs/>
        </w:rPr>
        <w:t>Maximum Drawdown:</w:t>
      </w:r>
      <w:r w:rsidRPr="00CD4991">
        <w:t xml:space="preserve"> Dies ist oft der größte Gewinn. Das Meta-Modell lernt effektiv, in ungünstigen Marktphasen "an der Seitenlinie" zu bleiben, was die Kapitalerhaltung (Capital Preservation) drastisch verbessert.</w:t>
      </w:r>
      <w:r w:rsidRPr="00CD4991">
        <w:rPr>
          <w:vertAlign w:val="superscript"/>
        </w:rPr>
        <w:t>49</w:t>
      </w:r>
    </w:p>
    <w:p w14:paraId="1759AD13" w14:textId="77777777" w:rsidR="00CD4991" w:rsidRPr="00CD4991" w:rsidRDefault="00CD4991" w:rsidP="00CD4991">
      <w:pPr>
        <w:numPr>
          <w:ilvl w:val="0"/>
          <w:numId w:val="10"/>
        </w:numPr>
      </w:pPr>
      <w:r w:rsidRPr="00CD4991">
        <w:rPr>
          <w:b/>
          <w:bCs/>
        </w:rPr>
        <w:t>Positionsgrößenbestimmung (Bet Sizing):</w:t>
      </w:r>
      <w:r w:rsidRPr="00CD4991">
        <w:t xml:space="preserve"> Anstatt jeden Trade gleich zu gewichten, kann die Positionsgröße proportional zur vom Meta-Modell vorhergesagten Wahrscheinlichkeit skaliert werden (z.B. mittels Kelly-Kriterium). Hohe Zuversicht = Große Position, Geringe Zuversicht = Kleine Position oder Filter.</w:t>
      </w:r>
      <w:r w:rsidRPr="00CD4991">
        <w:rPr>
          <w:vertAlign w:val="superscript"/>
        </w:rPr>
        <w:t>46</w:t>
      </w:r>
    </w:p>
    <w:p w14:paraId="6651642D" w14:textId="77777777" w:rsidR="00CD4991" w:rsidRPr="00CD4991" w:rsidRDefault="00CD4991" w:rsidP="00CD4991">
      <w:pPr>
        <w:rPr>
          <w:b/>
          <w:bCs/>
        </w:rPr>
      </w:pPr>
      <w:r w:rsidRPr="00CD4991">
        <w:rPr>
          <w:b/>
          <w:bCs/>
        </w:rPr>
        <w:t>5.4. Konfliktlösung bei Indikatoren (Signal Fusion)</w:t>
      </w:r>
    </w:p>
    <w:p w14:paraId="5B7D0DFA" w14:textId="77777777" w:rsidR="00CD4991" w:rsidRPr="00CD4991" w:rsidRDefault="00CD4991" w:rsidP="00CD4991">
      <w:r w:rsidRPr="00CD4991">
        <w:t>In der Praxis kommt es oft vor, dass verschiedene Indikatoren widersprüchliche Signale senden (z.B. RSI überkauft, aber MACD noch bullish). Viele Anfänger sehen dies als Fehler ("Bug"). Erfahrene Quant-Entwickler wissen jedoch: Indikatoren-Disagreement ist Information.50</w:t>
      </w:r>
    </w:p>
    <w:p w14:paraId="678E24C8" w14:textId="77777777" w:rsidR="00CD4991" w:rsidRPr="00CD4991" w:rsidRDefault="00CD4991" w:rsidP="00CD4991">
      <w:r w:rsidRPr="00CD4991">
        <w:t>Ein Konflikt deutet oft auf eine Markttransition hin (z.B. Momentum lässt nach, aber Trend ist noch intakt). Ein hierarchisches Fusionssystem kann diese Konflikte lösen:</w:t>
      </w:r>
    </w:p>
    <w:p w14:paraId="5325FB40" w14:textId="77777777" w:rsidR="00CD4991" w:rsidRPr="00CD4991" w:rsidRDefault="00CD4991" w:rsidP="00CD4991">
      <w:pPr>
        <w:numPr>
          <w:ilvl w:val="0"/>
          <w:numId w:val="11"/>
        </w:numPr>
      </w:pPr>
      <w:r w:rsidRPr="00CD4991">
        <w:rPr>
          <w:b/>
          <w:bCs/>
        </w:rPr>
        <w:t>Veto-Prinzip:</w:t>
      </w:r>
      <w:r w:rsidRPr="00CD4991">
        <w:t xml:space="preserve"> Regime-Indikatoren haben Vorrang. In einem starken Trend-Regime werden Oszillator-Signale (wie RSI überkauft), die gegen den Trend sprechen, ignoriert oder sogar als Bestätigung für Stärke interpretiert ("Overbought can stay overbought").</w:t>
      </w:r>
    </w:p>
    <w:p w14:paraId="7324A3FC" w14:textId="77777777" w:rsidR="00CD4991" w:rsidRPr="00CD4991" w:rsidRDefault="00CD4991" w:rsidP="00CD4991">
      <w:pPr>
        <w:numPr>
          <w:ilvl w:val="0"/>
          <w:numId w:val="11"/>
        </w:numPr>
      </w:pPr>
      <w:r w:rsidRPr="00CD4991">
        <w:rPr>
          <w:b/>
          <w:bCs/>
        </w:rPr>
        <w:t>Voting-Systeme:</w:t>
      </w:r>
      <w:r w:rsidRPr="00CD4991">
        <w:t xml:space="preserve"> Mehrere schwache Signale können summiert werden. Wenn 3 von 5 Indikatoren "Long" sind, wird eine kleine Position eröffnet. Wenn 5 von 5 "Long" sind, eine volle Position.</w:t>
      </w:r>
    </w:p>
    <w:p w14:paraId="5FB3DD4D" w14:textId="77777777" w:rsidR="00CD4991" w:rsidRPr="00CD4991" w:rsidRDefault="00CD4991" w:rsidP="00CD4991">
      <w:r w:rsidRPr="00CD4991">
        <w:pict w14:anchorId="2535B5A3">
          <v:rect id="_x0000_i1065" style="width:0;height:1.5pt" o:hralign="center" o:hrstd="t" o:hrnoshade="t" o:hr="t" fillcolor="gray" stroked="f"/>
        </w:pict>
      </w:r>
    </w:p>
    <w:p w14:paraId="123DBC66" w14:textId="77777777" w:rsidR="00CD4991" w:rsidRPr="00CD4991" w:rsidRDefault="00CD4991" w:rsidP="00CD4991">
      <w:pPr>
        <w:rPr>
          <w:b/>
          <w:bCs/>
        </w:rPr>
      </w:pPr>
      <w:r w:rsidRPr="00CD4991">
        <w:rPr>
          <w:b/>
          <w:bCs/>
        </w:rPr>
        <w:t>6. Systemarchitektur und Implementierung</w:t>
      </w:r>
    </w:p>
    <w:p w14:paraId="65715E55" w14:textId="77777777" w:rsidR="00CD4991" w:rsidRPr="00CD4991" w:rsidRDefault="00CD4991" w:rsidP="00CD4991">
      <w:r w:rsidRPr="00CD4991">
        <w:t>Die Implementierung eines Systems, das Mustererkennung, Regime-Wechsel und KI integriert, stellt hohe Anforderungen an die technische Infrastruktur. Es ist nicht trivial, diese Komponenten in einer Live-Trading-Umgebung zu orchestrieren.</w:t>
      </w:r>
    </w:p>
    <w:p w14:paraId="493CD572" w14:textId="77777777" w:rsidR="00CD4991" w:rsidRPr="00CD4991" w:rsidRDefault="00CD4991" w:rsidP="00CD4991">
      <w:pPr>
        <w:rPr>
          <w:b/>
          <w:bCs/>
        </w:rPr>
      </w:pPr>
      <w:r w:rsidRPr="00CD4991">
        <w:rPr>
          <w:b/>
          <w:bCs/>
        </w:rPr>
        <w:lastRenderedPageBreak/>
        <w:t>6.1. Latenz und Infrastruktur</w:t>
      </w:r>
    </w:p>
    <w:p w14:paraId="3DD545D7" w14:textId="77777777" w:rsidR="00CD4991" w:rsidRPr="00CD4991" w:rsidRDefault="00CD4991" w:rsidP="00CD4991">
      <w:r w:rsidRPr="00CD4991">
        <w:t>Die Nutzung externer KI-APIs (wie OpenAI für LLM-Analysen) führt unvermeidlich zu Latenzzeiten (Latency). Ein API-Call kann mehrere Sekunden dauern. Für Hochfrequenzhandel (HFT) oder Market Making ist dies völlig inakzeptabel.</w:t>
      </w:r>
    </w:p>
    <w:p w14:paraId="39E51143" w14:textId="77777777" w:rsidR="00CD4991" w:rsidRPr="00CD4991" w:rsidRDefault="00CD4991" w:rsidP="00CD4991">
      <w:pPr>
        <w:numPr>
          <w:ilvl w:val="0"/>
          <w:numId w:val="12"/>
        </w:numPr>
      </w:pPr>
      <w:r w:rsidRPr="00CD4991">
        <w:rPr>
          <w:b/>
          <w:bCs/>
        </w:rPr>
        <w:t>Strategie-Horizont:</w:t>
      </w:r>
      <w:r w:rsidRPr="00CD4991">
        <w:t xml:space="preserve"> Solche Systeme eignen sich daher primär für </w:t>
      </w:r>
      <w:r w:rsidRPr="00CD4991">
        <w:rPr>
          <w:b/>
          <w:bCs/>
        </w:rPr>
        <w:t>Swing-Trading</w:t>
      </w:r>
      <w:r w:rsidRPr="00CD4991">
        <w:t xml:space="preserve"> oder </w:t>
      </w:r>
      <w:r w:rsidRPr="00CD4991">
        <w:rPr>
          <w:b/>
          <w:bCs/>
        </w:rPr>
        <w:t>Intraday-Trading</w:t>
      </w:r>
      <w:r w:rsidRPr="00CD4991">
        <w:t xml:space="preserve"> auf langsameren Zeitskalen (z.B. Stunden- oder Tages-Charts), wo eine Verzögerung von 2-3 Sekunden keinen kritischen Einfluss auf die Ausführungsqualität (Slippage) hat.</w:t>
      </w:r>
      <w:r w:rsidRPr="00CD4991">
        <w:rPr>
          <w:vertAlign w:val="superscript"/>
        </w:rPr>
        <w:t>51</w:t>
      </w:r>
    </w:p>
    <w:p w14:paraId="23D40E1C" w14:textId="77777777" w:rsidR="00CD4991" w:rsidRPr="00CD4991" w:rsidRDefault="00CD4991" w:rsidP="00CD4991">
      <w:pPr>
        <w:numPr>
          <w:ilvl w:val="0"/>
          <w:numId w:val="12"/>
        </w:numPr>
      </w:pPr>
      <w:r w:rsidRPr="00CD4991">
        <w:rPr>
          <w:b/>
          <w:bCs/>
        </w:rPr>
        <w:t>Hybrid-Architektur:</w:t>
      </w:r>
      <w:r w:rsidRPr="00CD4991">
        <w:t xml:space="preserve"> Eine bewährte Lösung ist die Trennung von Analyse und Exekution.</w:t>
      </w:r>
    </w:p>
    <w:p w14:paraId="192E08B0" w14:textId="77777777" w:rsidR="00CD4991" w:rsidRPr="00CD4991" w:rsidRDefault="00CD4991" w:rsidP="00CD4991">
      <w:pPr>
        <w:numPr>
          <w:ilvl w:val="1"/>
          <w:numId w:val="12"/>
        </w:numPr>
      </w:pPr>
      <w:r w:rsidRPr="00CD4991">
        <w:rPr>
          <w:b/>
          <w:bCs/>
        </w:rPr>
        <w:t>Execution Layer (Schnell):</w:t>
      </w:r>
      <w:r w:rsidRPr="00CD4991">
        <w:t xml:space="preserve"> Geschrieben in C++, Rust oder Go. Läuft lokal oder auf einem Colocation-Server. Handelt einfache Order-Logik (Stop-Loss, Take-Profit).</w:t>
      </w:r>
    </w:p>
    <w:p w14:paraId="16100A7A" w14:textId="77777777" w:rsidR="00CD4991" w:rsidRPr="00CD4991" w:rsidRDefault="00CD4991" w:rsidP="00CD4991">
      <w:pPr>
        <w:numPr>
          <w:ilvl w:val="1"/>
          <w:numId w:val="12"/>
        </w:numPr>
      </w:pPr>
      <w:r w:rsidRPr="00CD4991">
        <w:rPr>
          <w:b/>
          <w:bCs/>
        </w:rPr>
        <w:t>Intelligence Layer (Langsam):</w:t>
      </w:r>
      <w:r w:rsidRPr="00CD4991">
        <w:t xml:space="preserve"> Python-basiert. Läuft in der Cloud. Führt die schweren ML-Modelle (HMM, LLM) aus und sendet asynchron Signale oder Parameter-Updates an den Execution Layer.</w:t>
      </w:r>
    </w:p>
    <w:p w14:paraId="006EA930" w14:textId="77777777" w:rsidR="00CD4991" w:rsidRPr="00CD4991" w:rsidRDefault="00CD4991" w:rsidP="00CD4991">
      <w:pPr>
        <w:rPr>
          <w:b/>
          <w:bCs/>
        </w:rPr>
      </w:pPr>
      <w:r w:rsidRPr="00CD4991">
        <w:rPr>
          <w:b/>
          <w:bCs/>
        </w:rPr>
        <w:t>6.2. Daten-Pipelines und Overfitting-Risiken</w:t>
      </w:r>
    </w:p>
    <w:p w14:paraId="305D5920" w14:textId="77777777" w:rsidR="00CD4991" w:rsidRPr="00CD4991" w:rsidRDefault="00CD4991" w:rsidP="00CD4991">
      <w:r w:rsidRPr="00CD4991">
        <w:t xml:space="preserve">Ein häufiger Fehler bei der Entwicklung ist das </w:t>
      </w:r>
      <w:r w:rsidRPr="00CD4991">
        <w:rPr>
          <w:b/>
          <w:bCs/>
        </w:rPr>
        <w:t>Overfitting</w:t>
      </w:r>
      <w:r w:rsidRPr="00CD4991">
        <w:t xml:space="preserve"> und der </w:t>
      </w:r>
      <w:r w:rsidRPr="00CD4991">
        <w:rPr>
          <w:b/>
          <w:bCs/>
        </w:rPr>
        <w:t>Look-ahead Bias</w:t>
      </w:r>
      <w:r w:rsidRPr="00CD4991">
        <w:t>, besonders bei Regime-Modellen. Wenn ein HMM auf Daten von 2010-2020 trainiert wird, kennt es implizit die Zukunft (z.B. den Crash von 2020) und wird im Backtest unrealistisch gut abschneiden.</w:t>
      </w:r>
    </w:p>
    <w:p w14:paraId="0830ED6E" w14:textId="77777777" w:rsidR="00CD4991" w:rsidRPr="00CD4991" w:rsidRDefault="00CD4991" w:rsidP="00CD4991">
      <w:pPr>
        <w:numPr>
          <w:ilvl w:val="0"/>
          <w:numId w:val="13"/>
        </w:numPr>
      </w:pPr>
      <w:r w:rsidRPr="00CD4991">
        <w:rPr>
          <w:b/>
          <w:bCs/>
        </w:rPr>
        <w:t>Walk-Forward-Validierung:</w:t>
      </w:r>
      <w:r w:rsidRPr="00CD4991">
        <w:t xml:space="preserve"> Modelle dürfen immer nur auf </w:t>
      </w:r>
      <w:r w:rsidRPr="00CD4991">
        <w:rPr>
          <w:i/>
          <w:iCs/>
        </w:rPr>
        <w:t>vergangenen</w:t>
      </w:r>
      <w:r w:rsidRPr="00CD4991">
        <w:t xml:space="preserve"> Daten trainiert werden. Das Fenster wird schrittweise nach vorne geschoben.</w:t>
      </w:r>
    </w:p>
    <w:p w14:paraId="58115AE8" w14:textId="77777777" w:rsidR="00CD4991" w:rsidRPr="00CD4991" w:rsidRDefault="00CD4991" w:rsidP="00CD4991">
      <w:pPr>
        <w:numPr>
          <w:ilvl w:val="0"/>
          <w:numId w:val="13"/>
        </w:numPr>
      </w:pPr>
      <w:r w:rsidRPr="00CD4991">
        <w:rPr>
          <w:b/>
          <w:bCs/>
        </w:rPr>
        <w:t>Data Leakage:</w:t>
      </w:r>
      <w:r w:rsidRPr="00CD4991">
        <w:t xml:space="preserve"> Bei der Nutzung von LLMs muss sichergestellt werden, dass das Modell keine Informationen über zukünftige Nachrichtenereignisse hat, die im Trainingsdatensatz des LLMs enthalten sein könnten.</w:t>
      </w:r>
    </w:p>
    <w:p w14:paraId="2CD9527B" w14:textId="77777777" w:rsidR="00CD4991" w:rsidRPr="00CD4991" w:rsidRDefault="00CD4991" w:rsidP="00CD4991">
      <w:r w:rsidRPr="00CD4991">
        <w:pict w14:anchorId="1885F673">
          <v:rect id="_x0000_i1066" style="width:0;height:1.5pt" o:hralign="center" o:hrstd="t" o:hrnoshade="t" o:hr="t" fillcolor="gray" stroked="f"/>
        </w:pict>
      </w:r>
    </w:p>
    <w:p w14:paraId="283E12E6" w14:textId="77777777" w:rsidR="00CD4991" w:rsidRPr="00CD4991" w:rsidRDefault="00CD4991" w:rsidP="00CD4991">
      <w:pPr>
        <w:rPr>
          <w:b/>
          <w:bCs/>
        </w:rPr>
      </w:pPr>
      <w:r w:rsidRPr="00CD4991">
        <w:rPr>
          <w:b/>
          <w:bCs/>
        </w:rPr>
        <w:t>7. Synthese und Strategische Empfehlung</w:t>
      </w:r>
    </w:p>
    <w:p w14:paraId="7067CFB4" w14:textId="77777777" w:rsidR="00CD4991" w:rsidRPr="00CD4991" w:rsidRDefault="00CD4991" w:rsidP="00CD4991">
      <w:r w:rsidRPr="00CD4991">
        <w:t xml:space="preserve">Die Analyse der Forschungslage und der technologischen Möglichkeiten führt zu einer klaren Schlussfolgerung: Die Optimierung von Trading-Strategien liegt nicht in der Suche nach einem einzelnen, überlegenen Indikator ("Holy Grail"), sondern in der </w:t>
      </w:r>
      <w:r w:rsidRPr="00CD4991">
        <w:rPr>
          <w:b/>
          <w:bCs/>
        </w:rPr>
        <w:t>synergetischen Kontextualisierung</w:t>
      </w:r>
      <w:r w:rsidRPr="00CD4991">
        <w:t xml:space="preserve"> verschiedener Informationsquellen.</w:t>
      </w:r>
    </w:p>
    <w:p w14:paraId="59981789" w14:textId="77777777" w:rsidR="00CD4991" w:rsidRPr="00CD4991" w:rsidRDefault="00CD4991" w:rsidP="00CD4991">
      <w:pPr>
        <w:numPr>
          <w:ilvl w:val="0"/>
          <w:numId w:val="14"/>
        </w:numPr>
      </w:pPr>
      <w:r w:rsidRPr="00CD4991">
        <w:rPr>
          <w:b/>
          <w:bCs/>
        </w:rPr>
        <w:t>Mustererkennung (Pattern Scan)</w:t>
      </w:r>
      <w:r w:rsidRPr="00CD4991">
        <w:t xml:space="preserve"> liefert die </w:t>
      </w:r>
      <w:r w:rsidRPr="00CD4991">
        <w:rPr>
          <w:b/>
          <w:bCs/>
        </w:rPr>
        <w:t>taktischen Einstiegspunkte (Trigger)</w:t>
      </w:r>
      <w:r w:rsidRPr="00CD4991">
        <w:t>. Algorithmen wie Kernel Regression machen diese objektiv messbar.</w:t>
      </w:r>
    </w:p>
    <w:p w14:paraId="3ACBD962" w14:textId="77777777" w:rsidR="00CD4991" w:rsidRPr="00CD4991" w:rsidRDefault="00CD4991" w:rsidP="00CD4991">
      <w:pPr>
        <w:numPr>
          <w:ilvl w:val="0"/>
          <w:numId w:val="14"/>
        </w:numPr>
      </w:pPr>
      <w:r w:rsidRPr="00CD4991">
        <w:rPr>
          <w:b/>
          <w:bCs/>
        </w:rPr>
        <w:lastRenderedPageBreak/>
        <w:t>Marktregime-Erkennung</w:t>
      </w:r>
      <w:r w:rsidRPr="00CD4991">
        <w:t xml:space="preserve"> liefert den </w:t>
      </w:r>
      <w:r w:rsidRPr="00CD4991">
        <w:rPr>
          <w:b/>
          <w:bCs/>
        </w:rPr>
        <w:t>strategischen Kontext (Filter)</w:t>
      </w:r>
      <w:r w:rsidRPr="00CD4991">
        <w:t xml:space="preserve">. Sie bestimmt, </w:t>
      </w:r>
      <w:r w:rsidRPr="00CD4991">
        <w:rPr>
          <w:i/>
          <w:iCs/>
        </w:rPr>
        <w:t>ob</w:t>
      </w:r>
      <w:r w:rsidRPr="00CD4991">
        <w:t xml:space="preserve"> ein bestimmtes Muster überhaupt gehandelt werden darf (z.B. keine Breakouts in Seitwärtsmärkten).</w:t>
      </w:r>
    </w:p>
    <w:p w14:paraId="395F4CAF" w14:textId="77777777" w:rsidR="00CD4991" w:rsidRPr="00CD4991" w:rsidRDefault="00CD4991" w:rsidP="00CD4991">
      <w:pPr>
        <w:numPr>
          <w:ilvl w:val="0"/>
          <w:numId w:val="14"/>
        </w:numPr>
      </w:pPr>
      <w:r w:rsidRPr="00CD4991">
        <w:rPr>
          <w:b/>
          <w:bCs/>
        </w:rPr>
        <w:t>KI (LLMs &amp; Neuro-Symbolik)</w:t>
      </w:r>
      <w:r w:rsidRPr="00CD4991">
        <w:t xml:space="preserve"> fungiert als </w:t>
      </w:r>
      <w:r w:rsidRPr="00CD4991">
        <w:rPr>
          <w:b/>
          <w:bCs/>
        </w:rPr>
        <w:t>Qualitätskontrolle und Validierung</w:t>
      </w:r>
      <w:r w:rsidRPr="00CD4991">
        <w:t>. Sie prüft "weiche" Faktoren (Sentiment, visuelle Chart-Struktur) und verhindert durch logische Constraints grobe Fehler.</w:t>
      </w:r>
    </w:p>
    <w:p w14:paraId="180DA560" w14:textId="77777777" w:rsidR="00CD4991" w:rsidRPr="00CD4991" w:rsidRDefault="00CD4991" w:rsidP="00CD4991">
      <w:pPr>
        <w:numPr>
          <w:ilvl w:val="0"/>
          <w:numId w:val="14"/>
        </w:numPr>
      </w:pPr>
      <w:r w:rsidRPr="00CD4991">
        <w:rPr>
          <w:b/>
          <w:bCs/>
        </w:rPr>
        <w:t>Meta-Labeling</w:t>
      </w:r>
      <w:r w:rsidRPr="00CD4991">
        <w:t xml:space="preserve"> optimiert die </w:t>
      </w:r>
      <w:r w:rsidRPr="00CD4991">
        <w:rPr>
          <w:b/>
          <w:bCs/>
        </w:rPr>
        <w:t>Kapitalallokation</w:t>
      </w:r>
      <w:r w:rsidRPr="00CD4991">
        <w:t>. Es transformiert unsichere Signale in präzise Wahrscheinlichkeiten für die Positionsgröße.</w:t>
      </w:r>
    </w:p>
    <w:p w14:paraId="5E8E1882" w14:textId="77777777" w:rsidR="00CD4991" w:rsidRPr="00CD4991" w:rsidRDefault="00CD4991" w:rsidP="00CD4991">
      <w:pPr>
        <w:rPr>
          <w:b/>
          <w:bCs/>
        </w:rPr>
      </w:pPr>
      <w:r w:rsidRPr="00CD4991">
        <w:rPr>
          <w:b/>
          <w:bCs/>
        </w:rPr>
        <w:t>Zusammenfassende Empfehlung für die Systemarchitektur</w:t>
      </w:r>
    </w:p>
    <w:p w14:paraId="0C4F1BC1" w14:textId="77777777" w:rsidR="00CD4991" w:rsidRPr="00CD4991" w:rsidRDefault="00CD4991" w:rsidP="00CD4991">
      <w:r w:rsidRPr="00CD4991">
        <w:t>Für die praktische Umsetzung empfiehlt sich eine modulare Pipeline, die Robustheit maximiert:</w:t>
      </w:r>
    </w:p>
    <w:tbl>
      <w:tblPr>
        <w:tblW w:w="0" w:type="auto"/>
        <w:tblCellSpacing w:w="15" w:type="dxa"/>
        <w:tblCellMar>
          <w:left w:w="0" w:type="dxa"/>
          <w:right w:w="0" w:type="dxa"/>
        </w:tblCellMar>
        <w:tblLook w:val="04A0" w:firstRow="1" w:lastRow="0" w:firstColumn="1" w:lastColumn="0" w:noHBand="0" w:noVBand="1"/>
      </w:tblPr>
      <w:tblGrid>
        <w:gridCol w:w="2124"/>
        <w:gridCol w:w="2894"/>
        <w:gridCol w:w="4038"/>
      </w:tblGrid>
      <w:tr w:rsidR="00CD4991" w:rsidRPr="00CD4991" w14:paraId="50E4B4E6"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E87D80" w14:textId="77777777" w:rsidR="00CD4991" w:rsidRPr="00CD4991" w:rsidRDefault="00CD4991" w:rsidP="00CD4991">
            <w:r w:rsidRPr="00CD4991">
              <w:rPr>
                <w:b/>
                <w:bCs/>
              </w:rPr>
              <w:t>Komponente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236ECA" w14:textId="77777777" w:rsidR="00CD4991" w:rsidRPr="00CD4991" w:rsidRDefault="00CD4991" w:rsidP="00CD4991">
            <w:r w:rsidRPr="00CD4991">
              <w:rPr>
                <w:b/>
                <w:bCs/>
              </w:rPr>
              <w:t>Methode / Technologie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5E2CAC" w14:textId="77777777" w:rsidR="00CD4991" w:rsidRPr="00CD4991" w:rsidRDefault="00CD4991" w:rsidP="00CD4991">
            <w:r w:rsidRPr="00CD4991">
              <w:rPr>
                <w:b/>
                <w:bCs/>
              </w:rPr>
              <w:t>Funktion im System</w:t>
            </w:r>
          </w:p>
        </w:tc>
      </w:tr>
      <w:tr w:rsidR="00CD4991" w:rsidRPr="00CD4991" w14:paraId="2323547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FCC37A" w14:textId="77777777" w:rsidR="00CD4991" w:rsidRPr="00CD4991" w:rsidRDefault="00CD4991" w:rsidP="00CD4991">
            <w:r w:rsidRPr="00CD4991">
              <w:rPr>
                <w:b/>
                <w:bCs/>
              </w:rPr>
              <w:t>1. Signal-Generierung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E41D0D" w14:textId="77777777" w:rsidR="00CD4991" w:rsidRPr="00CD4991" w:rsidRDefault="00CD4991" w:rsidP="00CD4991">
            <w:r w:rsidRPr="00CD4991">
              <w:t>Pattern Scan (Kernel Regression), Tech. Indikatoren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3B4DC4" w14:textId="77777777" w:rsidR="00CD4991" w:rsidRPr="00CD4991" w:rsidRDefault="00CD4991" w:rsidP="00CD4991">
            <w:r w:rsidRPr="00CD4991">
              <w:t>Erzeugung von Kandidaten-Trades mit hohem Recall (viele Chancen finden).</w:t>
            </w:r>
          </w:p>
        </w:tc>
      </w:tr>
      <w:tr w:rsidR="00CD4991" w:rsidRPr="00CD4991" w14:paraId="2A74BD0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6B064F" w14:textId="77777777" w:rsidR="00CD4991" w:rsidRPr="00CD4991" w:rsidRDefault="00CD4991" w:rsidP="00CD4991">
            <w:r w:rsidRPr="00CD4991">
              <w:rPr>
                <w:b/>
                <w:bCs/>
              </w:rPr>
              <w:t>2. Regime-Filter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DDD254" w14:textId="77777777" w:rsidR="00CD4991" w:rsidRPr="00CD4991" w:rsidRDefault="00CD4991" w:rsidP="00CD4991">
            <w:r w:rsidRPr="00CD4991">
              <w:t>Hidden Markov Modelle (HMM), GMM, Volatilitäts-Cluster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DA9AE3" w14:textId="77777777" w:rsidR="00CD4991" w:rsidRPr="00CD4991" w:rsidRDefault="00CD4991" w:rsidP="00CD4991">
            <w:r w:rsidRPr="00CD4991">
              <w:t>Bestimmung des Marktzustands (Trend vs. Mean Reversion). Dient als erstes Veto.</w:t>
            </w:r>
          </w:p>
        </w:tc>
      </w:tr>
      <w:tr w:rsidR="00CD4991" w:rsidRPr="00CD4991" w14:paraId="22C98A8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85533E" w14:textId="77777777" w:rsidR="00CD4991" w:rsidRPr="00CD4991" w:rsidRDefault="00CD4991" w:rsidP="00CD4991">
            <w:r w:rsidRPr="00CD4991">
              <w:rPr>
                <w:b/>
                <w:bCs/>
              </w:rPr>
              <w:t>3. Validierung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D76238" w14:textId="77777777" w:rsidR="00CD4991" w:rsidRPr="00CD4991" w:rsidRDefault="00CD4991" w:rsidP="00CD4991">
            <w:r w:rsidRPr="00CD4991">
              <w:t>Multimodale LLMs + Function Calling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DFB902" w14:textId="77777777" w:rsidR="00CD4991" w:rsidRPr="00CD4991" w:rsidRDefault="00CD4991" w:rsidP="00CD4991">
            <w:r w:rsidRPr="00CD4991">
              <w:t>Fundamentaler &amp; Sentiment Check, visuelle Bestätigung, Vermeidung von Halluzinationen.</w:t>
            </w:r>
          </w:p>
        </w:tc>
      </w:tr>
      <w:tr w:rsidR="00CD4991" w:rsidRPr="00CD4991" w14:paraId="1FB783D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D4EA69" w14:textId="77777777" w:rsidR="00CD4991" w:rsidRPr="00CD4991" w:rsidRDefault="00CD4991" w:rsidP="00CD4991">
            <w:r w:rsidRPr="00CD4991">
              <w:rPr>
                <w:b/>
                <w:bCs/>
              </w:rPr>
              <w:t>4. Entscheidung &amp; Sizing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3197EA" w14:textId="77777777" w:rsidR="00CD4991" w:rsidRPr="00CD4991" w:rsidRDefault="00CD4991" w:rsidP="00CD4991">
            <w:r w:rsidRPr="00CD4991">
              <w:t>Meta-Labeling (Random Forest / XGBoost)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9D905A" w14:textId="77777777" w:rsidR="00CD4991" w:rsidRPr="00CD4991" w:rsidRDefault="00CD4991" w:rsidP="00CD4991">
            <w:r w:rsidRPr="00CD4991">
              <w:t>Wahrscheinlichkeits-Schätzung für Trade-Erfolg, Berechnung der optimalen Positionsgröße (Bet Sizing).</w:t>
            </w:r>
          </w:p>
        </w:tc>
      </w:tr>
      <w:tr w:rsidR="00CD4991" w:rsidRPr="00CD4991" w14:paraId="59FEDFB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49C351" w14:textId="77777777" w:rsidR="00CD4991" w:rsidRPr="00CD4991" w:rsidRDefault="00CD4991" w:rsidP="00CD4991">
            <w:r w:rsidRPr="00CD4991">
              <w:rPr>
                <w:b/>
                <w:bCs/>
              </w:rPr>
              <w:t>5. Exekution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D6F010" w14:textId="77777777" w:rsidR="00CD4991" w:rsidRPr="00CD4991" w:rsidRDefault="00CD4991" w:rsidP="00CD4991">
            <w:r w:rsidRPr="00CD4991">
              <w:t>Deterministische Algorithmen (TWAP/VWAP)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C47666" w14:textId="77777777" w:rsidR="00CD4991" w:rsidRPr="00CD4991" w:rsidRDefault="00CD4991" w:rsidP="00CD4991">
            <w:r w:rsidRPr="00CD4991">
              <w:t>Kosteneffiziente Ausführung, Latenz-Minimierung, Risikomanagement (Hard Stops).</w:t>
            </w:r>
          </w:p>
        </w:tc>
      </w:tr>
    </w:tbl>
    <w:p w14:paraId="21D8BC28" w14:textId="77777777" w:rsidR="00CD4991" w:rsidRPr="00CD4991" w:rsidRDefault="00CD4991" w:rsidP="00CD4991">
      <w:r w:rsidRPr="00CD4991">
        <w:t xml:space="preserve">Die Zukunft des algorithmischen Handels gehört </w:t>
      </w:r>
      <w:r w:rsidRPr="00CD4991">
        <w:rPr>
          <w:b/>
          <w:bCs/>
        </w:rPr>
        <w:t>Neuro-Symbolischen Hybridsystemen</w:t>
      </w:r>
      <w:r w:rsidRPr="00CD4991">
        <w:t xml:space="preserve">, die die Transparenz und Sicherheit von Regeln mit der Adaptivität und Mustererkennung von Deep Learning verbinden. Durch die Integration von LLMs via </w:t>
      </w:r>
      <w:r w:rsidRPr="00CD4991">
        <w:lastRenderedPageBreak/>
        <w:t>Function Calling können diese Systeme nicht nur Zahlen verarbeiten, sondern Marktnarrative verstehen, was einen entscheidenden Vorteil gegenüber rein quantitativen "Black-Box"-Systemen darstellt.</w:t>
      </w:r>
    </w:p>
    <w:p w14:paraId="1F6F48C9" w14:textId="77777777" w:rsidR="00956506" w:rsidRPr="00CD4991" w:rsidRDefault="00956506" w:rsidP="00CD4991"/>
    <w:sectPr w:rsidR="00956506" w:rsidRPr="00CD4991">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601A3"/>
    <w:multiLevelType w:val="multilevel"/>
    <w:tmpl w:val="E762179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0565BC"/>
    <w:multiLevelType w:val="multilevel"/>
    <w:tmpl w:val="54A6E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9E5545"/>
    <w:multiLevelType w:val="multilevel"/>
    <w:tmpl w:val="F0988C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2E605F"/>
    <w:multiLevelType w:val="multilevel"/>
    <w:tmpl w:val="E03038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E4E3BF5"/>
    <w:multiLevelType w:val="multilevel"/>
    <w:tmpl w:val="B7E8F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9F7884"/>
    <w:multiLevelType w:val="multilevel"/>
    <w:tmpl w:val="6FF22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5427E8"/>
    <w:multiLevelType w:val="multilevel"/>
    <w:tmpl w:val="3EFA72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EC90B16"/>
    <w:multiLevelType w:val="multilevel"/>
    <w:tmpl w:val="11822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945E87"/>
    <w:multiLevelType w:val="multilevel"/>
    <w:tmpl w:val="4B0694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5F3640D"/>
    <w:multiLevelType w:val="multilevel"/>
    <w:tmpl w:val="2286F1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0E6266"/>
    <w:multiLevelType w:val="multilevel"/>
    <w:tmpl w:val="7A92B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0D21BB"/>
    <w:multiLevelType w:val="multilevel"/>
    <w:tmpl w:val="7876E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B513F58"/>
    <w:multiLevelType w:val="multilevel"/>
    <w:tmpl w:val="9B20B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5CD0188"/>
    <w:multiLevelType w:val="multilevel"/>
    <w:tmpl w:val="DFEAD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5650169">
    <w:abstractNumId w:val="5"/>
  </w:num>
  <w:num w:numId="2" w16cid:durableId="2039038534">
    <w:abstractNumId w:val="3"/>
  </w:num>
  <w:num w:numId="3" w16cid:durableId="1175922720">
    <w:abstractNumId w:val="9"/>
  </w:num>
  <w:num w:numId="4" w16cid:durableId="1653290872">
    <w:abstractNumId w:val="4"/>
  </w:num>
  <w:num w:numId="5" w16cid:durableId="1297832695">
    <w:abstractNumId w:val="11"/>
  </w:num>
  <w:num w:numId="6" w16cid:durableId="504247712">
    <w:abstractNumId w:val="0"/>
  </w:num>
  <w:num w:numId="7" w16cid:durableId="983697819">
    <w:abstractNumId w:val="1"/>
  </w:num>
  <w:num w:numId="8" w16cid:durableId="1863199942">
    <w:abstractNumId w:val="8"/>
  </w:num>
  <w:num w:numId="9" w16cid:durableId="127431103">
    <w:abstractNumId w:val="10"/>
  </w:num>
  <w:num w:numId="10" w16cid:durableId="265502510">
    <w:abstractNumId w:val="12"/>
  </w:num>
  <w:num w:numId="11" w16cid:durableId="1341657375">
    <w:abstractNumId w:val="13"/>
  </w:num>
  <w:num w:numId="12" w16cid:durableId="165022087">
    <w:abstractNumId w:val="2"/>
  </w:num>
  <w:num w:numId="13" w16cid:durableId="1138375511">
    <w:abstractNumId w:val="7"/>
  </w:num>
  <w:num w:numId="14" w16cid:durableId="175685232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4991"/>
    <w:rsid w:val="0036729A"/>
    <w:rsid w:val="007858F0"/>
    <w:rsid w:val="00956506"/>
    <w:rsid w:val="00CD4991"/>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6B5197"/>
  <w15:chartTrackingRefBased/>
  <w15:docId w15:val="{DD938A35-3873-4DB3-B13B-13D705D539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CD49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CD49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CD4991"/>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CD4991"/>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CD4991"/>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CD4991"/>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CD4991"/>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CD4991"/>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CD4991"/>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CD4991"/>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CD4991"/>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CD4991"/>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CD4991"/>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CD4991"/>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CD4991"/>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CD4991"/>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CD4991"/>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CD4991"/>
    <w:rPr>
      <w:rFonts w:eastAsiaTheme="majorEastAsia" w:cstheme="majorBidi"/>
      <w:color w:val="272727" w:themeColor="text1" w:themeTint="D8"/>
    </w:rPr>
  </w:style>
  <w:style w:type="paragraph" w:styleId="Titel">
    <w:name w:val="Title"/>
    <w:basedOn w:val="Standard"/>
    <w:next w:val="Standard"/>
    <w:link w:val="TitelZchn"/>
    <w:uiPriority w:val="10"/>
    <w:qFormat/>
    <w:rsid w:val="00CD49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CD4991"/>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CD4991"/>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CD4991"/>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CD4991"/>
    <w:pPr>
      <w:spacing w:before="160"/>
      <w:jc w:val="center"/>
    </w:pPr>
    <w:rPr>
      <w:i/>
      <w:iCs/>
      <w:color w:val="404040" w:themeColor="text1" w:themeTint="BF"/>
    </w:rPr>
  </w:style>
  <w:style w:type="character" w:customStyle="1" w:styleId="ZitatZchn">
    <w:name w:val="Zitat Zchn"/>
    <w:basedOn w:val="Absatz-Standardschriftart"/>
    <w:link w:val="Zitat"/>
    <w:uiPriority w:val="29"/>
    <w:rsid w:val="00CD4991"/>
    <w:rPr>
      <w:i/>
      <w:iCs/>
      <w:color w:val="404040" w:themeColor="text1" w:themeTint="BF"/>
    </w:rPr>
  </w:style>
  <w:style w:type="paragraph" w:styleId="Listenabsatz">
    <w:name w:val="List Paragraph"/>
    <w:basedOn w:val="Standard"/>
    <w:uiPriority w:val="34"/>
    <w:qFormat/>
    <w:rsid w:val="00CD4991"/>
    <w:pPr>
      <w:ind w:left="720"/>
      <w:contextualSpacing/>
    </w:pPr>
  </w:style>
  <w:style w:type="character" w:styleId="IntensiveHervorhebung">
    <w:name w:val="Intense Emphasis"/>
    <w:basedOn w:val="Absatz-Standardschriftart"/>
    <w:uiPriority w:val="21"/>
    <w:qFormat/>
    <w:rsid w:val="00CD4991"/>
    <w:rPr>
      <w:i/>
      <w:iCs/>
      <w:color w:val="0F4761" w:themeColor="accent1" w:themeShade="BF"/>
    </w:rPr>
  </w:style>
  <w:style w:type="paragraph" w:styleId="IntensivesZitat">
    <w:name w:val="Intense Quote"/>
    <w:basedOn w:val="Standard"/>
    <w:next w:val="Standard"/>
    <w:link w:val="IntensivesZitatZchn"/>
    <w:uiPriority w:val="30"/>
    <w:qFormat/>
    <w:rsid w:val="00CD49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CD4991"/>
    <w:rPr>
      <w:i/>
      <w:iCs/>
      <w:color w:val="0F4761" w:themeColor="accent1" w:themeShade="BF"/>
    </w:rPr>
  </w:style>
  <w:style w:type="character" w:styleId="IntensiverVerweis">
    <w:name w:val="Intense Reference"/>
    <w:basedOn w:val="Absatz-Standardschriftart"/>
    <w:uiPriority w:val="32"/>
    <w:qFormat/>
    <w:rsid w:val="00CD499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4691</Words>
  <Characters>29555</Characters>
  <Application>Microsoft Office Word</Application>
  <DocSecurity>0</DocSecurity>
  <Lines>246</Lines>
  <Paragraphs>68</Paragraphs>
  <ScaleCrop>false</ScaleCrop>
  <Company/>
  <LinksUpToDate>false</LinksUpToDate>
  <CharactersWithSpaces>34178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Maik Schmitz</dc:creator>
  <cp:keywords/>
  <dc:description/>
  <cp:lastModifiedBy>Maik Schmitz</cp:lastModifiedBy>
  <cp:revision>1</cp:revision>
  <dcterms:created xsi:type="dcterms:W3CDTF">2026-01-20T02:51:00Z</dcterms:created>
  <dcterms:modified xsi:type="dcterms:W3CDTF">2026-01-20T02:52:00Z</dcterms:modified>
</cp:coreProperties>
</file>