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64FDA" w14:textId="0AF9CB97" w:rsidR="001E7404" w:rsidRDefault="00C84A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>4</w:t>
      </w:r>
      <w:r w:rsidR="004E5F3A">
        <w:rPr>
          <w:rFonts w:ascii="Arial" w:hAnsi="Arial" w:cs="Arial"/>
          <w:b/>
          <w:sz w:val="32"/>
          <w:szCs w:val="32"/>
        </w:rPr>
        <w:t xml:space="preserve">   </w:t>
      </w:r>
      <w:r w:rsidR="008E092E">
        <w:rPr>
          <w:rFonts w:ascii="Arial" w:hAnsi="Arial" w:cs="Arial"/>
          <w:b/>
          <w:sz w:val="32"/>
          <w:szCs w:val="32"/>
        </w:rPr>
        <w:t>Description of the Model</w:t>
      </w:r>
    </w:p>
    <w:p w14:paraId="28823138" w14:textId="77777777" w:rsidR="00D70CFA" w:rsidRDefault="00D70CFA">
      <w:pPr>
        <w:rPr>
          <w:rFonts w:ascii="Arial" w:hAnsi="Arial" w:cs="Arial"/>
          <w:b/>
          <w:sz w:val="28"/>
          <w:szCs w:val="28"/>
        </w:rPr>
      </w:pPr>
    </w:p>
    <w:p w14:paraId="4D494472" w14:textId="18DA9B9D" w:rsidR="00B46E57" w:rsidRDefault="008E092E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8"/>
        </w:rPr>
        <w:t>4.1</w:t>
      </w:r>
      <w:r w:rsidR="00D70CFA">
        <w:rPr>
          <w:rFonts w:ascii="Arial" w:hAnsi="Arial" w:cs="Arial"/>
          <w:b/>
          <w:sz w:val="28"/>
          <w:szCs w:val="28"/>
        </w:rPr>
        <w:t xml:space="preserve"> </w:t>
      </w:r>
      <w:r w:rsidR="00B46E57">
        <w:rPr>
          <w:rFonts w:ascii="Arial" w:hAnsi="Arial" w:cs="Arial"/>
          <w:b/>
          <w:sz w:val="28"/>
          <w:szCs w:val="28"/>
        </w:rPr>
        <w:t>EV Agent Model</w:t>
      </w:r>
    </w:p>
    <w:p w14:paraId="0ED3B1F1" w14:textId="77777777" w:rsidR="00B46E57" w:rsidRDefault="00B46E57">
      <w:pPr>
        <w:rPr>
          <w:rFonts w:ascii="Arial" w:hAnsi="Arial" w:cs="Arial"/>
          <w:b/>
          <w:lang w:eastAsia="ko-KR"/>
        </w:rPr>
      </w:pPr>
    </w:p>
    <w:p w14:paraId="18A9FE1D" w14:textId="524CCD5D" w:rsidR="003D0712" w:rsidRDefault="00361D8F">
      <w:pPr>
        <w:rPr>
          <w:rFonts w:ascii="Arial" w:hAnsi="Arial" w:cs="Arial"/>
          <w:lang w:eastAsia="ko-KR"/>
        </w:rPr>
      </w:pPr>
      <w:r w:rsidRPr="00B6717A">
        <w:rPr>
          <w:rFonts w:ascii="Arial" w:hAnsi="Arial" w:cs="Arial"/>
          <w:lang w:eastAsia="ko-KR"/>
        </w:rPr>
        <w:t xml:space="preserve">Our study adopts EV agent model that was introduced by </w:t>
      </w:r>
      <w:r w:rsidR="004A5425" w:rsidRPr="00B6717A">
        <w:rPr>
          <w:rFonts w:ascii="Arial" w:hAnsi="Arial" w:cs="Arial"/>
          <w:i/>
          <w:lang w:eastAsia="ko-KR"/>
        </w:rPr>
        <w:t>López et al.</w:t>
      </w:r>
      <w:r w:rsidR="004A5425" w:rsidRPr="00B6717A">
        <w:rPr>
          <w:rFonts w:ascii="Arial" w:hAnsi="Arial" w:cs="Arial"/>
          <w:lang w:eastAsia="ko-KR"/>
        </w:rPr>
        <w:t xml:space="preserve"> in 2011.</w:t>
      </w:r>
      <w:r w:rsidR="004A5425" w:rsidRPr="00B6717A">
        <w:rPr>
          <w:rFonts w:ascii="Arial" w:hAnsi="Arial" w:cs="Arial"/>
          <w:bCs/>
          <w:vertAlign w:val="superscript"/>
          <w:lang w:eastAsia="ko-KR"/>
        </w:rPr>
        <w:t>[6]</w:t>
      </w:r>
      <w:r w:rsidR="004A5425" w:rsidRPr="00B6717A">
        <w:rPr>
          <w:rFonts w:ascii="Arial" w:hAnsi="Arial" w:cs="Arial"/>
          <w:lang w:eastAsia="ko-KR"/>
        </w:rPr>
        <w:t xml:space="preserve"> EV agent is a conceptual demand management agent that is responsible for finding optimal charging solutions based on collected information about participating EVs</w:t>
      </w:r>
      <w:r w:rsidR="00271CE3">
        <w:rPr>
          <w:rFonts w:ascii="Arial" w:hAnsi="Arial" w:cs="Arial"/>
          <w:lang w:eastAsia="ko-KR"/>
        </w:rPr>
        <w:t>.</w:t>
      </w:r>
      <w:r w:rsidR="004A5425" w:rsidRPr="00B6717A">
        <w:rPr>
          <w:rFonts w:ascii="Arial" w:hAnsi="Arial" w:cs="Arial"/>
          <w:lang w:eastAsia="ko-KR"/>
        </w:rPr>
        <w:t xml:space="preserve"> </w:t>
      </w:r>
      <w:r w:rsidR="00271CE3">
        <w:rPr>
          <w:rFonts w:ascii="Arial" w:hAnsi="Arial" w:cs="Arial"/>
          <w:lang w:eastAsia="ko-KR"/>
        </w:rPr>
        <w:t xml:space="preserve">Figure </w:t>
      </w:r>
      <w:r w:rsidR="00271CE3" w:rsidRPr="00271CE3">
        <w:rPr>
          <w:rFonts w:ascii="Arial" w:hAnsi="Arial" w:cs="Arial"/>
          <w:color w:val="FF0000"/>
          <w:lang w:eastAsia="ko-KR"/>
        </w:rPr>
        <w:t>P</w:t>
      </w:r>
      <w:r w:rsidR="00271CE3">
        <w:rPr>
          <w:rFonts w:ascii="Arial" w:hAnsi="Arial" w:cs="Arial"/>
          <w:lang w:eastAsia="ko-KR"/>
        </w:rPr>
        <w:t xml:space="preserve"> schematically illustrates the communication between EV agent and EVs. When an EV arrives home, </w:t>
      </w:r>
      <w:r w:rsidR="00816CB6">
        <w:rPr>
          <w:rFonts w:ascii="Arial" w:hAnsi="Arial" w:cs="Arial"/>
          <w:lang w:eastAsia="ko-KR"/>
        </w:rPr>
        <w:t xml:space="preserve">instead of charging immediately, </w:t>
      </w:r>
      <w:r w:rsidR="00271CE3">
        <w:rPr>
          <w:rFonts w:ascii="Arial" w:hAnsi="Arial" w:cs="Arial"/>
          <w:lang w:eastAsia="ko-KR"/>
        </w:rPr>
        <w:t xml:space="preserve">it sends information about its current state of charge(SOC) and next scheduled departure time. The EV agent </w:t>
      </w:r>
      <w:r w:rsidR="003D0712">
        <w:rPr>
          <w:rFonts w:ascii="Arial" w:hAnsi="Arial" w:cs="Arial"/>
          <w:lang w:eastAsia="ko-KR"/>
        </w:rPr>
        <w:t>processes such information from all participating EVs and sends back to each vehicle a charging plan, which contains information about when and how the vehicle should charge.</w:t>
      </w:r>
    </w:p>
    <w:p w14:paraId="7B814DC4" w14:textId="77777777" w:rsidR="00271CE3" w:rsidRDefault="00271CE3">
      <w:pPr>
        <w:rPr>
          <w:rFonts w:ascii="Arial" w:hAnsi="Arial" w:cs="Arial"/>
          <w:lang w:eastAsia="ko-KR"/>
        </w:rPr>
      </w:pPr>
    </w:p>
    <w:p w14:paraId="0BB61CDB" w14:textId="59E89016" w:rsidR="00574443" w:rsidRDefault="00574443" w:rsidP="00574443">
      <w:pPr>
        <w:jc w:val="center"/>
        <w:rPr>
          <w:rFonts w:ascii="Arial" w:hAnsi="Arial" w:cs="Arial"/>
          <w:lang w:eastAsia="ko-KR"/>
        </w:rPr>
      </w:pPr>
      <w:r>
        <w:rPr>
          <w:rFonts w:ascii="Arial" w:hAnsi="Arial" w:cs="Arial"/>
          <w:noProof/>
        </w:rPr>
        <w:drawing>
          <wp:inline distT="0" distB="0" distL="0" distR="0" wp14:anchorId="49EC8E7B" wp14:editId="02808AB8">
            <wp:extent cx="5274310" cy="3571875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URE 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CB30" w14:textId="6B18CAE3" w:rsidR="00271CE3" w:rsidRPr="00B6717A" w:rsidRDefault="00271CE3" w:rsidP="00271CE3">
      <w:pPr>
        <w:jc w:val="center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Figure </w:t>
      </w:r>
      <w:r w:rsidRPr="00271CE3">
        <w:rPr>
          <w:rFonts w:ascii="Arial" w:hAnsi="Arial" w:cs="Arial"/>
          <w:color w:val="FF0000"/>
          <w:lang w:eastAsia="ko-KR"/>
        </w:rPr>
        <w:t>P</w:t>
      </w:r>
      <w:r>
        <w:rPr>
          <w:rFonts w:ascii="Arial" w:hAnsi="Arial" w:cs="Arial"/>
          <w:lang w:eastAsia="ko-KR"/>
        </w:rPr>
        <w:t xml:space="preserve">: </w:t>
      </w:r>
      <w:r w:rsidR="003D0712">
        <w:rPr>
          <w:rFonts w:ascii="Arial" w:hAnsi="Arial" w:cs="Arial"/>
          <w:lang w:eastAsia="ko-KR"/>
        </w:rPr>
        <w:t>Schematic diagram of EV agent model</w:t>
      </w:r>
    </w:p>
    <w:p w14:paraId="43043C58" w14:textId="77777777" w:rsidR="00361D8F" w:rsidRPr="00333707" w:rsidRDefault="00361D8F">
      <w:pPr>
        <w:rPr>
          <w:rFonts w:ascii="Arial" w:hAnsi="Arial" w:cs="Arial"/>
          <w:lang w:eastAsia="ko-KR"/>
        </w:rPr>
      </w:pPr>
    </w:p>
    <w:p w14:paraId="1A5C5116" w14:textId="5FD531EE" w:rsidR="009419CE" w:rsidRDefault="00333707" w:rsidP="009419CE">
      <w:pPr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Our model is based on </w:t>
      </w:r>
      <w:r w:rsidR="00834E66">
        <w:rPr>
          <w:rFonts w:ascii="Arial" w:hAnsi="Arial" w:cs="Arial"/>
          <w:lang w:eastAsia="ko-KR"/>
        </w:rPr>
        <w:t>a number of simplifying</w:t>
      </w:r>
      <w:r>
        <w:rPr>
          <w:rFonts w:ascii="Arial" w:hAnsi="Arial" w:cs="Arial"/>
          <w:lang w:eastAsia="ko-KR"/>
        </w:rPr>
        <w:t xml:space="preserve"> assumptions</w:t>
      </w:r>
      <w:r w:rsidR="00834E66">
        <w:rPr>
          <w:rFonts w:ascii="Arial" w:hAnsi="Arial" w:cs="Arial"/>
          <w:lang w:eastAsia="ko-KR"/>
        </w:rPr>
        <w:t>:</w:t>
      </w:r>
    </w:p>
    <w:p w14:paraId="295A9B76" w14:textId="77777777" w:rsidR="001116D8" w:rsidRPr="001116D8" w:rsidRDefault="001116D8" w:rsidP="001116D8">
      <w:pPr>
        <w:rPr>
          <w:rFonts w:ascii="Arial" w:hAnsi="Arial" w:cs="Arial"/>
          <w:lang w:eastAsia="ko-KR"/>
        </w:rPr>
      </w:pPr>
    </w:p>
    <w:p w14:paraId="315F0AB6" w14:textId="4424B4D1" w:rsidR="00A7485B" w:rsidRDefault="00A7485B" w:rsidP="00834E66">
      <w:pPr>
        <w:pStyle w:val="ListParagraph"/>
        <w:numPr>
          <w:ilvl w:val="0"/>
          <w:numId w:val="3"/>
        </w:numPr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All vehicles are the same model and thus have the same technical specifications—for example, battery capacity, </w:t>
      </w:r>
      <w:r w:rsidR="00FD336C">
        <w:rPr>
          <w:rFonts w:ascii="Arial" w:hAnsi="Arial" w:cs="Arial"/>
          <w:lang w:eastAsia="ko-KR"/>
        </w:rPr>
        <w:t>fuel economy, and plug-in charging</w:t>
      </w:r>
      <w:r w:rsidR="001D6CB6">
        <w:rPr>
          <w:rFonts w:ascii="Arial" w:hAnsi="Arial" w:cs="Arial"/>
          <w:lang w:eastAsia="ko-KR"/>
        </w:rPr>
        <w:t xml:space="preserve"> rate. In our study, all vehicles are assumed to be Tesla Model S (2015 85D </w:t>
      </w:r>
      <w:r w:rsidR="00651CF7">
        <w:rPr>
          <w:rFonts w:ascii="Arial" w:hAnsi="Arial" w:cs="Arial"/>
          <w:lang w:eastAsia="ko-KR"/>
        </w:rPr>
        <w:t>Option</w:t>
      </w:r>
      <w:r w:rsidR="001D6CB6">
        <w:rPr>
          <w:rFonts w:ascii="Arial" w:hAnsi="Arial" w:cs="Arial"/>
          <w:lang w:eastAsia="ko-KR"/>
        </w:rPr>
        <w:t>).</w:t>
      </w:r>
    </w:p>
    <w:p w14:paraId="4D76ACC8" w14:textId="41438005" w:rsidR="001116D8" w:rsidRDefault="001116D8" w:rsidP="00834E66">
      <w:pPr>
        <w:pStyle w:val="ListParagraph"/>
        <w:numPr>
          <w:ilvl w:val="0"/>
          <w:numId w:val="3"/>
        </w:numPr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>Vehicles only charge at home</w:t>
      </w:r>
      <w:r w:rsidR="00A7485B">
        <w:rPr>
          <w:rFonts w:ascii="Arial" w:hAnsi="Arial" w:cs="Arial"/>
          <w:lang w:eastAsia="ko-KR"/>
        </w:rPr>
        <w:t xml:space="preserve">. Although some vehicles use charging stations in reality, the majority of EVs </w:t>
      </w:r>
      <w:r w:rsidR="001D6CB6">
        <w:rPr>
          <w:rFonts w:ascii="Arial" w:hAnsi="Arial" w:cs="Arial"/>
          <w:lang w:eastAsia="ko-KR"/>
        </w:rPr>
        <w:t xml:space="preserve">still </w:t>
      </w:r>
      <w:r w:rsidR="00A7485B">
        <w:rPr>
          <w:rFonts w:ascii="Arial" w:hAnsi="Arial" w:cs="Arial"/>
          <w:lang w:eastAsia="ko-KR"/>
        </w:rPr>
        <w:t>charge at home, making this assumption a reasonable abstraction. This assumption leads to the two following assumptions.</w:t>
      </w:r>
    </w:p>
    <w:p w14:paraId="2000874E" w14:textId="762155B3" w:rsidR="00A7485B" w:rsidRDefault="00A7485B" w:rsidP="00834E66">
      <w:pPr>
        <w:pStyle w:val="ListParagraph"/>
        <w:numPr>
          <w:ilvl w:val="0"/>
          <w:numId w:val="3"/>
        </w:numPr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EVs </w:t>
      </w:r>
      <w:r w:rsidR="005E023F">
        <w:rPr>
          <w:rFonts w:ascii="Arial" w:hAnsi="Arial" w:cs="Arial"/>
          <w:lang w:eastAsia="ko-KR"/>
        </w:rPr>
        <w:t>whose traveling distance between their departure from home and return exceeds</w:t>
      </w:r>
      <w:r>
        <w:rPr>
          <w:rFonts w:ascii="Arial" w:hAnsi="Arial" w:cs="Arial"/>
          <w:lang w:eastAsia="ko-KR"/>
        </w:rPr>
        <w:t xml:space="preserve"> the </w:t>
      </w:r>
      <w:r w:rsidR="001D6CB6">
        <w:rPr>
          <w:rFonts w:ascii="Arial" w:hAnsi="Arial" w:cs="Arial"/>
          <w:lang w:eastAsia="ko-KR"/>
        </w:rPr>
        <w:t xml:space="preserve">driving range of Tesla Model S (approximately 250 miles) </w:t>
      </w:r>
      <w:r w:rsidR="005E023F">
        <w:rPr>
          <w:rFonts w:ascii="Arial" w:hAnsi="Arial" w:cs="Arial"/>
          <w:lang w:eastAsia="ko-KR"/>
        </w:rPr>
        <w:t xml:space="preserve">are excluded from our analysis because excessively long </w:t>
      </w:r>
      <w:r w:rsidR="005E023F">
        <w:rPr>
          <w:rFonts w:ascii="Arial" w:hAnsi="Arial" w:cs="Arial"/>
          <w:lang w:eastAsia="ko-KR"/>
        </w:rPr>
        <w:lastRenderedPageBreak/>
        <w:t>journeys lead to a negative SOC value.</w:t>
      </w:r>
    </w:p>
    <w:p w14:paraId="5CCF4C05" w14:textId="77E19B93" w:rsidR="001116D8" w:rsidRDefault="005E023F" w:rsidP="00834E66">
      <w:pPr>
        <w:pStyle w:val="ListParagraph"/>
        <w:numPr>
          <w:ilvl w:val="0"/>
          <w:numId w:val="3"/>
        </w:numPr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>Vehicles that do not return home are also excluded from our analysis.</w:t>
      </w:r>
    </w:p>
    <w:p w14:paraId="3547784B" w14:textId="6CC3EEAB" w:rsidR="004415BF" w:rsidRDefault="004415BF" w:rsidP="00834E66">
      <w:pPr>
        <w:pStyle w:val="ListParagraph"/>
        <w:numPr>
          <w:ilvl w:val="0"/>
          <w:numId w:val="3"/>
        </w:numPr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>All vehicles charge with 240V charging cable. (Charging rate: approximately 9.6 KW)</w:t>
      </w:r>
      <w:r w:rsidR="00ED3F99" w:rsidRPr="00ED3F99">
        <w:rPr>
          <w:rFonts w:ascii="Arial" w:hAnsi="Arial" w:cs="Arial"/>
          <w:vertAlign w:val="superscript"/>
          <w:lang w:eastAsia="ko-KR"/>
        </w:rPr>
        <w:t>[7]</w:t>
      </w:r>
    </w:p>
    <w:p w14:paraId="0FF5B03A" w14:textId="2A7BB72D" w:rsidR="00834E66" w:rsidRDefault="00EC3046" w:rsidP="00834E66">
      <w:pPr>
        <w:pStyle w:val="ListParagraph"/>
        <w:numPr>
          <w:ilvl w:val="0"/>
          <w:numId w:val="3"/>
        </w:numPr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Since our model analyzes vehicles in one grid system, </w:t>
      </w:r>
      <w:r w:rsidR="00AE1C32">
        <w:rPr>
          <w:rFonts w:ascii="Arial" w:hAnsi="Arial" w:cs="Arial"/>
          <w:lang w:eastAsia="ko-KR"/>
        </w:rPr>
        <w:t>we choose to examine vehicles in one region, Texas.</w:t>
      </w:r>
    </w:p>
    <w:p w14:paraId="74BF60F8" w14:textId="50005BD5" w:rsidR="003039B6" w:rsidRDefault="00AE1C32" w:rsidP="00EC3046">
      <w:pPr>
        <w:pStyle w:val="ListParagraph"/>
        <w:numPr>
          <w:ilvl w:val="0"/>
          <w:numId w:val="3"/>
        </w:numPr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>Electricity pricing follows the actual residential electricity prices in El Paso, Texas. The peak hour price, which occurs from 12:00 to 20:00 daily, is 0.15831 USD/KWh; the off-peak price is 0.06743</w:t>
      </w:r>
      <w:r w:rsidRPr="00AE1C32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>USD/KWh.</w:t>
      </w:r>
      <w:r w:rsidR="00ED3F99" w:rsidRPr="00ED3F99">
        <w:rPr>
          <w:rFonts w:ascii="Arial" w:hAnsi="Arial" w:cs="Arial"/>
          <w:vertAlign w:val="superscript"/>
          <w:lang w:eastAsia="ko-KR"/>
        </w:rPr>
        <w:t>[</w:t>
      </w:r>
      <w:r w:rsidR="00ED3F99">
        <w:rPr>
          <w:rFonts w:ascii="Arial" w:hAnsi="Arial" w:cs="Arial"/>
          <w:vertAlign w:val="superscript"/>
          <w:lang w:eastAsia="ko-KR"/>
        </w:rPr>
        <w:t>8</w:t>
      </w:r>
      <w:r w:rsidR="00ED3F99" w:rsidRPr="00ED3F99">
        <w:rPr>
          <w:rFonts w:ascii="Arial" w:hAnsi="Arial" w:cs="Arial"/>
          <w:vertAlign w:val="superscript"/>
          <w:lang w:eastAsia="ko-KR"/>
        </w:rPr>
        <w:t>]</w:t>
      </w:r>
    </w:p>
    <w:p w14:paraId="188E1A7C" w14:textId="75F09B1E" w:rsidR="001D4545" w:rsidRPr="00834E66" w:rsidRDefault="00AE1C32" w:rsidP="00834E66">
      <w:pPr>
        <w:pStyle w:val="ListParagraph"/>
        <w:numPr>
          <w:ilvl w:val="0"/>
          <w:numId w:val="3"/>
        </w:numPr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>The driving profiles of vehicles are the same everyday.</w:t>
      </w:r>
    </w:p>
    <w:p w14:paraId="2D26B15B" w14:textId="77777777" w:rsidR="00C84F1F" w:rsidRDefault="00C84F1F" w:rsidP="00C44970">
      <w:pPr>
        <w:rPr>
          <w:rFonts w:ascii="Arial" w:hAnsi="Arial" w:cs="Arial"/>
          <w:kern w:val="0"/>
          <w:lang w:eastAsia="ko-KR"/>
        </w:rPr>
      </w:pPr>
    </w:p>
    <w:p w14:paraId="4F3991A3" w14:textId="19C75E53" w:rsidR="00651CF7" w:rsidRDefault="00651CF7" w:rsidP="00C44970">
      <w:pPr>
        <w:rPr>
          <w:rFonts w:ascii="Arial" w:hAnsi="Arial" w:cs="Arial"/>
          <w:kern w:val="0"/>
          <w:lang w:eastAsia="ko-KR"/>
        </w:rPr>
      </w:pPr>
      <w:r>
        <w:rPr>
          <w:rFonts w:ascii="Arial" w:hAnsi="Arial" w:cs="Arial"/>
          <w:kern w:val="0"/>
          <w:lang w:eastAsia="ko-KR"/>
        </w:rPr>
        <w:t>In order to understand EVs’ influence on grid robustness, we should first find EVs’ total power consumption from the grid over time. Total power consumption</w:t>
      </w:r>
      <w:r w:rsidR="00574443">
        <w:rPr>
          <w:rFonts w:ascii="Arial" w:hAnsi="Arial" w:cs="Arial"/>
          <w:kern w:val="0"/>
          <w:lang w:eastAsia="ko-KR"/>
        </w:rPr>
        <w:t xml:space="preserve"> is the sum of individual power consumption. A charging EV—SOC of which is increasing—draws 9.6 KW of power from the grid. Therefore, individual power consumption at time </w:t>
      </w:r>
      <w:r w:rsidR="00574443" w:rsidRPr="00A9510E">
        <w:rPr>
          <w:rFonts w:ascii="Arial" w:hAnsi="Arial" w:cs="Arial"/>
          <w:i/>
          <w:kern w:val="0"/>
          <w:lang w:eastAsia="ko-KR"/>
        </w:rPr>
        <w:t>t</w:t>
      </w:r>
      <w:r w:rsidR="00574443">
        <w:rPr>
          <w:rFonts w:ascii="Arial" w:hAnsi="Arial" w:cs="Arial"/>
          <w:kern w:val="0"/>
          <w:lang w:eastAsia="ko-KR"/>
        </w:rPr>
        <w:t xml:space="preserve"> can be defined by a simple piecewise function:</w:t>
      </w:r>
    </w:p>
    <w:p w14:paraId="4F26ACFE" w14:textId="77777777" w:rsidR="00574443" w:rsidRDefault="00574443" w:rsidP="00C44970">
      <w:pPr>
        <w:rPr>
          <w:rFonts w:ascii="Arial" w:hAnsi="Arial" w:cs="Arial"/>
          <w:kern w:val="0"/>
          <w:lang w:eastAsia="ko-KR"/>
        </w:rPr>
      </w:pPr>
    </w:p>
    <w:p w14:paraId="1AD37368" w14:textId="3A447516" w:rsidR="00574443" w:rsidRPr="00A9510E" w:rsidRDefault="00574443" w:rsidP="00C44970">
      <w:pPr>
        <w:rPr>
          <w:rFonts w:ascii="Arial" w:hAnsi="Arial" w:cs="Arial"/>
          <w:kern w:val="0"/>
          <w:lang w:eastAsia="ko-KR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Arial"/>
                  <w:kern w:val="0"/>
                  <w:lang w:eastAsia="ko-K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lang w:eastAsia="ko-KR"/>
                </w:rPr>
                <m:t>individual power consumption</m:t>
              </m:r>
            </m:e>
          </m:d>
          <m:r>
            <w:rPr>
              <w:rFonts w:ascii="Cambria Math" w:hAnsi="Cambria Math" w:cs="Arial"/>
              <w:kern w:val="0"/>
              <w:lang w:eastAsia="ko-KR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kern w:val="0"/>
                  <w:lang w:eastAsia="ko-K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kern w:val="0"/>
                      <w:lang w:eastAsia="ko-KR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kern w:val="0"/>
                      <w:lang w:eastAsia="ko-KR"/>
                    </w:rPr>
                    <m:t xml:space="preserve">9.6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kern w:val="0"/>
                      <w:lang w:eastAsia="ko-KR"/>
                    </w:rPr>
                    <m:t>KW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kern w:val="0"/>
                      <w:lang w:eastAsia="ko-KR"/>
                    </w:rPr>
                    <m:t xml:space="preserve"> (charging)</m:t>
                  </m:r>
                </m:e>
                <m:e>
                  <m:r>
                    <w:rPr>
                      <w:rFonts w:ascii="Cambria Math" w:hAnsi="Cambria Math" w:cs="Arial"/>
                      <w:kern w:val="0"/>
                      <w:lang w:eastAsia="ko-KR"/>
                    </w:rPr>
                    <m:t xml:space="preserve">0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kern w:val="0"/>
                      <w:lang w:eastAsia="ko-KR"/>
                    </w:rPr>
                    <m:t>(not charging)</m:t>
                  </m:r>
                </m:e>
              </m:eqArr>
            </m:e>
          </m:d>
        </m:oMath>
      </m:oMathPara>
    </w:p>
    <w:p w14:paraId="6E9500A4" w14:textId="77777777" w:rsidR="00651CF7" w:rsidRDefault="00651CF7" w:rsidP="00C44970">
      <w:pPr>
        <w:rPr>
          <w:rFonts w:ascii="Arial" w:hAnsi="Arial" w:cs="Arial"/>
          <w:kern w:val="0"/>
          <w:lang w:eastAsia="ko-KR"/>
        </w:rPr>
      </w:pPr>
    </w:p>
    <w:p w14:paraId="4965B939" w14:textId="6E82B6C1" w:rsidR="0018769D" w:rsidRDefault="00A9510E" w:rsidP="00C44970">
      <w:pPr>
        <w:rPr>
          <w:rFonts w:ascii="Arial" w:hAnsi="Arial" w:cs="Arial"/>
          <w:kern w:val="0"/>
          <w:lang w:eastAsia="ko-KR"/>
        </w:rPr>
      </w:pPr>
      <w:r>
        <w:rPr>
          <w:rFonts w:ascii="Arial" w:hAnsi="Arial" w:cs="Arial"/>
          <w:kern w:val="0"/>
          <w:lang w:eastAsia="ko-KR"/>
        </w:rPr>
        <w:t>And t</w:t>
      </w:r>
      <w:r w:rsidR="00BE2366">
        <w:rPr>
          <w:rFonts w:ascii="Arial" w:hAnsi="Arial" w:cs="Arial"/>
          <w:kern w:val="0"/>
          <w:lang w:eastAsia="ko-KR"/>
        </w:rPr>
        <w:t xml:space="preserve">otal power consumption at </w:t>
      </w:r>
      <w:r w:rsidR="00BE2366" w:rsidRPr="00767CA5">
        <w:rPr>
          <w:rFonts w:ascii="Arial" w:hAnsi="Arial" w:cs="Arial"/>
          <w:i/>
          <w:kern w:val="0"/>
          <w:lang w:eastAsia="ko-KR"/>
        </w:rPr>
        <w:t>t</w:t>
      </w:r>
      <w:r w:rsidR="00BE2366">
        <w:rPr>
          <w:rFonts w:ascii="Arial" w:hAnsi="Arial" w:cs="Arial"/>
          <w:kern w:val="0"/>
          <w:lang w:eastAsia="ko-KR"/>
        </w:rPr>
        <w:t xml:space="preserve"> is defined as follows:</w:t>
      </w:r>
    </w:p>
    <w:p w14:paraId="27A9F44A" w14:textId="77777777" w:rsidR="00A9510E" w:rsidRDefault="00A9510E" w:rsidP="00C44970">
      <w:pPr>
        <w:rPr>
          <w:rFonts w:ascii="Arial" w:hAnsi="Arial" w:cs="Arial"/>
          <w:kern w:val="0"/>
          <w:lang w:eastAsia="ko-KR"/>
        </w:rPr>
      </w:pPr>
    </w:p>
    <w:p w14:paraId="06C323FB" w14:textId="77777777" w:rsidR="00767CA5" w:rsidRPr="00767CA5" w:rsidRDefault="00767CA5" w:rsidP="00C44970">
      <w:pPr>
        <w:rPr>
          <w:rFonts w:ascii="Arial" w:hAnsi="Arial" w:cs="Arial"/>
          <w:kern w:val="0"/>
          <w:lang w:eastAsia="ko-KR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Arial"/>
                  <w:i/>
                  <w:kern w:val="0"/>
                  <w:lang w:eastAsia="ko-K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lang w:eastAsia="ko-KR"/>
                </w:rPr>
                <m:t>total power consumption</m:t>
              </m:r>
              <m:ctrlPr>
                <w:rPr>
                  <w:rFonts w:ascii="Cambria Math" w:hAnsi="Cambria Math" w:cs="Arial"/>
                  <w:kern w:val="0"/>
                  <w:lang w:eastAsia="ko-KR"/>
                </w:rPr>
              </m:ctrlPr>
            </m:e>
          </m:d>
          <m:r>
            <w:rPr>
              <w:rFonts w:ascii="Cambria Math" w:hAnsi="Cambria Math" w:cs="Arial"/>
              <w:kern w:val="0"/>
              <w:lang w:eastAsia="ko-KR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kern w:val="0"/>
                  <w:lang w:eastAsia="ko-KR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Arial"/>
                      <w:i/>
                      <w:kern w:val="0"/>
                      <w:lang w:eastAsia="ko-K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kern w:val="0"/>
                      <w:lang w:eastAsia="ko-KR"/>
                    </w:rPr>
                    <m:t>indiviual power consumption</m:t>
                  </m:r>
                </m:e>
              </m:d>
            </m:e>
          </m:nary>
        </m:oMath>
      </m:oMathPara>
    </w:p>
    <w:p w14:paraId="3E0D7D32" w14:textId="074818E6" w:rsidR="00A9510E" w:rsidRPr="00767CA5" w:rsidRDefault="00767CA5" w:rsidP="00C44970">
      <w:pPr>
        <w:rPr>
          <w:rFonts w:ascii="Arial" w:hAnsi="Arial" w:cs="Arial"/>
          <w:kern w:val="0"/>
          <w:lang w:eastAsia="ko-KR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kern w:val="0"/>
              <w:lang w:eastAsia="ko-KR"/>
            </w:rPr>
            <w:br/>
          </m:r>
        </m:oMath>
        <m:oMath>
          <m:r>
            <w:rPr>
              <w:rFonts w:ascii="Cambria Math" w:hAnsi="Cambria Math" w:cs="Arial"/>
              <w:kern w:val="0"/>
              <w:lang w:eastAsia="ko-KR"/>
            </w:rPr>
            <m:t xml:space="preserve">                                                                =9.6 </m:t>
          </m:r>
          <m:r>
            <m:rPr>
              <m:sty m:val="p"/>
            </m:rPr>
            <w:rPr>
              <w:rFonts w:ascii="Cambria Math" w:hAnsi="Cambria Math" w:cs="Arial"/>
              <w:kern w:val="0"/>
              <w:lang w:eastAsia="ko-KR"/>
            </w:rPr>
            <m:t>KW</m:t>
          </m:r>
          <m:r>
            <m:rPr>
              <m:sty m:val="p"/>
            </m:rPr>
            <w:rPr>
              <w:rFonts w:ascii="Cambria Math" w:hAnsi="Cambria Math" w:cs="Arial"/>
              <w:kern w:val="0"/>
              <w:lang w:eastAsia="ko-KR"/>
            </w:rPr>
            <m:t xml:space="preserve"> × (number of charging vehicles)</m:t>
          </m:r>
        </m:oMath>
      </m:oMathPara>
    </w:p>
    <w:p w14:paraId="5E7F9C3E" w14:textId="77777777" w:rsidR="0018769D" w:rsidRDefault="0018769D" w:rsidP="004B3F82">
      <w:pPr>
        <w:rPr>
          <w:rFonts w:ascii="Arial" w:hAnsi="Arial" w:cs="Arial"/>
          <w:kern w:val="0"/>
          <w:lang w:eastAsia="ko-KR"/>
        </w:rPr>
      </w:pPr>
    </w:p>
    <w:p w14:paraId="665544B0" w14:textId="36D6D678" w:rsidR="0013715E" w:rsidRDefault="0013715E" w:rsidP="004B3F82">
      <w:pPr>
        <w:rPr>
          <w:rFonts w:ascii="Arial" w:hAnsi="Arial" w:cs="Arial"/>
          <w:kern w:val="0"/>
          <w:lang w:eastAsia="ko-KR"/>
        </w:rPr>
      </w:pPr>
      <w:r>
        <w:rPr>
          <w:rFonts w:ascii="Arial" w:hAnsi="Arial" w:cs="Arial"/>
          <w:kern w:val="0"/>
          <w:lang w:eastAsia="ko-KR"/>
        </w:rPr>
        <w:t xml:space="preserve">Next, to </w:t>
      </w:r>
      <w:r w:rsidR="00BD0367">
        <w:rPr>
          <w:rFonts w:ascii="Arial" w:hAnsi="Arial" w:cs="Arial"/>
          <w:kern w:val="0"/>
          <w:lang w:eastAsia="ko-KR"/>
        </w:rPr>
        <w:t>examine how much cost can be saved by our microgrid, daily total cost should also be calculated.</w:t>
      </w:r>
    </w:p>
    <w:p w14:paraId="374AD2A8" w14:textId="77777777" w:rsidR="00BD0367" w:rsidRDefault="00BD0367" w:rsidP="004B3F82">
      <w:pPr>
        <w:rPr>
          <w:rFonts w:ascii="Arial" w:hAnsi="Arial" w:cs="Arial"/>
          <w:kern w:val="0"/>
          <w:lang w:eastAsia="ko-KR"/>
        </w:rPr>
      </w:pPr>
    </w:p>
    <w:p w14:paraId="5FE36D71" w14:textId="5F3B865E" w:rsidR="000C0FB6" w:rsidRPr="000C0FB6" w:rsidRDefault="00BD0367" w:rsidP="004B3F82">
      <w:pPr>
        <w:rPr>
          <w:rFonts w:ascii="Arial" w:hAnsi="Arial" w:cs="Arial"/>
          <w:kern w:val="0"/>
          <w:lang w:eastAsia="ko-KR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Arial"/>
                  <w:i/>
                  <w:kern w:val="0"/>
                  <w:lang w:eastAsia="ko-K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lang w:eastAsia="ko-KR"/>
                </w:rPr>
                <m:t>daily individual cost</m:t>
              </m:r>
              <m:ctrlPr>
                <w:rPr>
                  <w:rFonts w:ascii="Cambria Math" w:hAnsi="Cambria Math" w:cs="Arial"/>
                  <w:kern w:val="0"/>
                  <w:lang w:eastAsia="ko-KR"/>
                </w:rPr>
              </m:ctrlPr>
            </m:e>
          </m:d>
          <m:r>
            <w:rPr>
              <w:rFonts w:ascii="Cambria Math" w:hAnsi="Cambria Math" w:cs="Arial"/>
              <w:kern w:val="0"/>
              <w:lang w:eastAsia="ko-KR"/>
            </w:rPr>
            <m:t xml:space="preserve">= 9.6 </m:t>
          </m:r>
          <m:r>
            <m:rPr>
              <m:sty m:val="p"/>
            </m:rPr>
            <w:rPr>
              <w:rFonts w:ascii="Cambria Math" w:hAnsi="Cambria Math" w:cs="Arial"/>
              <w:kern w:val="0"/>
              <w:lang w:eastAsia="ko-KR"/>
            </w:rPr>
            <m:t>KW</m:t>
          </m:r>
          <m:r>
            <w:rPr>
              <w:rFonts w:ascii="Cambria Math" w:hAnsi="Cambria Math" w:cs="Arial"/>
              <w:kern w:val="0"/>
              <w:lang w:eastAsia="ko-KR"/>
            </w:rPr>
            <m:t xml:space="preserve"> × </m:t>
          </m:r>
          <m:d>
            <m:dPr>
              <m:ctrlPr>
                <w:rPr>
                  <w:rFonts w:ascii="Cambria Math" w:hAnsi="Cambria Math" w:cs="Arial"/>
                  <w:i/>
                  <w:kern w:val="0"/>
                  <w:lang w:eastAsia="ko-K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lang w:eastAsia="ko-KR"/>
                </w:rPr>
                <m:t xml:space="preserve">on-peak </m:t>
              </m:r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lang w:eastAsia="ko-KR"/>
                </w:rPr>
                <m:t xml:space="preserve">charging </m:t>
              </m:r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lang w:eastAsia="ko-KR"/>
                </w:rPr>
                <m:t>hours</m:t>
              </m:r>
            </m:e>
          </m:d>
          <m:r>
            <w:rPr>
              <w:rFonts w:ascii="Cambria Math" w:hAnsi="Cambria Math" w:cs="Arial"/>
              <w:kern w:val="0"/>
              <w:lang w:eastAsia="ko-KR"/>
            </w:rPr>
            <m:t xml:space="preserve"> × </m:t>
          </m:r>
          <m:d>
            <m:dPr>
              <m:ctrlPr>
                <w:rPr>
                  <w:rFonts w:ascii="Cambria Math" w:hAnsi="Cambria Math" w:cs="Arial"/>
                  <w:i/>
                  <w:kern w:val="0"/>
                  <w:lang w:eastAsia="ko-K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lang w:eastAsia="ko-KR"/>
                </w:rPr>
                <m:t>on</m:t>
              </m:r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lang w:eastAsia="ko-KR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lang w:eastAsia="ko-KR"/>
                </w:rPr>
                <m:t>peak price</m:t>
              </m:r>
              <m:ctrlPr>
                <w:rPr>
                  <w:rFonts w:ascii="Cambria Math" w:hAnsi="Cambria Math" w:cs="Arial"/>
                  <w:kern w:val="0"/>
                  <w:lang w:eastAsia="ko-KR"/>
                </w:rPr>
              </m:ctrlPr>
            </m:e>
          </m:d>
        </m:oMath>
      </m:oMathPara>
    </w:p>
    <w:p w14:paraId="099E9B5E" w14:textId="4182C99B" w:rsidR="000C0FB6" w:rsidRPr="000C0FB6" w:rsidRDefault="000C0FB6" w:rsidP="004B3F82">
      <w:pPr>
        <w:rPr>
          <w:rFonts w:ascii="Arial" w:hAnsi="Arial" w:cs="Arial"/>
          <w:kern w:val="0"/>
          <w:lang w:eastAsia="ko-KR"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kern w:val="0"/>
              <w:lang w:eastAsia="ko-KR"/>
            </w:rPr>
            <m:t xml:space="preserve"> + </m:t>
          </m:r>
          <m:r>
            <w:rPr>
              <w:rFonts w:ascii="Cambria Math" w:hAnsi="Cambria Math" w:cs="Arial"/>
              <w:kern w:val="0"/>
              <w:lang w:eastAsia="ko-KR"/>
            </w:rPr>
            <m:t xml:space="preserve">9.6 </m:t>
          </m:r>
          <m:r>
            <m:rPr>
              <m:sty m:val="p"/>
            </m:rPr>
            <w:rPr>
              <w:rFonts w:ascii="Cambria Math" w:hAnsi="Cambria Math" w:cs="Arial"/>
              <w:kern w:val="0"/>
              <w:lang w:eastAsia="ko-KR"/>
            </w:rPr>
            <m:t>KW</m:t>
          </m:r>
          <m:r>
            <w:rPr>
              <w:rFonts w:ascii="Cambria Math" w:hAnsi="Cambria Math" w:cs="Arial"/>
              <w:kern w:val="0"/>
              <w:lang w:eastAsia="ko-KR"/>
            </w:rPr>
            <m:t xml:space="preserve"> × </m:t>
          </m:r>
          <m:d>
            <m:dPr>
              <m:ctrlPr>
                <w:rPr>
                  <w:rFonts w:ascii="Cambria Math" w:hAnsi="Cambria Math" w:cs="Arial"/>
                  <w:i/>
                  <w:kern w:val="0"/>
                  <w:lang w:eastAsia="ko-K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lang w:eastAsia="ko-KR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lang w:eastAsia="ko-KR"/>
                </w:rPr>
                <m:t>ff</m:t>
              </m:r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lang w:eastAsia="ko-KR"/>
                </w:rPr>
                <m:t xml:space="preserve">-peak </m:t>
              </m:r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lang w:eastAsia="ko-KR"/>
                </w:rPr>
                <m:t xml:space="preserve">charging </m:t>
              </m:r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lang w:eastAsia="ko-KR"/>
                </w:rPr>
                <m:t>hours</m:t>
              </m:r>
            </m:e>
          </m:d>
          <m:r>
            <w:rPr>
              <w:rFonts w:ascii="Cambria Math" w:hAnsi="Cambria Math" w:cs="Arial"/>
              <w:kern w:val="0"/>
              <w:lang w:eastAsia="ko-KR"/>
            </w:rPr>
            <m:t xml:space="preserve"> × </m:t>
          </m:r>
          <m:d>
            <m:dPr>
              <m:ctrlPr>
                <w:rPr>
                  <w:rFonts w:ascii="Cambria Math" w:hAnsi="Cambria Math" w:cs="Arial"/>
                  <w:i/>
                  <w:kern w:val="0"/>
                  <w:lang w:eastAsia="ko-K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lang w:eastAsia="ko-KR"/>
                </w:rPr>
                <m:t>off</m:t>
              </m:r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lang w:eastAsia="ko-KR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lang w:eastAsia="ko-KR"/>
                </w:rPr>
                <m:t>peak price</m:t>
              </m:r>
              <m:ctrlPr>
                <w:rPr>
                  <w:rFonts w:ascii="Cambria Math" w:hAnsi="Cambria Math" w:cs="Arial"/>
                  <w:kern w:val="0"/>
                  <w:lang w:eastAsia="ko-KR"/>
                </w:rPr>
              </m:ctrlPr>
            </m:e>
          </m:d>
          <m:r>
            <w:rPr>
              <w:rFonts w:ascii="Cambria Math" w:hAnsi="Cambria Math" w:cs="Arial"/>
              <w:kern w:val="0"/>
              <w:lang w:eastAsia="ko-KR"/>
            </w:rPr>
            <m:t xml:space="preserve"> </m:t>
          </m:r>
        </m:oMath>
      </m:oMathPara>
    </w:p>
    <w:p w14:paraId="43ED1672" w14:textId="3F883D36" w:rsidR="004415BF" w:rsidRDefault="004415BF" w:rsidP="004B3F82">
      <w:pPr>
        <w:rPr>
          <w:rFonts w:ascii="Arial" w:hAnsi="Arial" w:cs="Arial"/>
          <w:kern w:val="0"/>
          <w:lang w:eastAsia="ko-KR"/>
        </w:rPr>
      </w:pPr>
    </w:p>
    <w:p w14:paraId="3734BBD0" w14:textId="44C62FC2" w:rsidR="004415BF" w:rsidRPr="000C0FB6" w:rsidRDefault="000C0FB6" w:rsidP="004B3F82">
      <w:pPr>
        <w:rPr>
          <w:rFonts w:ascii="Arial" w:hAnsi="Arial" w:cs="Arial"/>
          <w:kern w:val="0"/>
          <w:lang w:eastAsia="ko-KR"/>
        </w:rPr>
      </w:pPr>
      <m:oMathPara>
        <m:oMath>
          <m:d>
            <m:dPr>
              <m:ctrlPr>
                <w:rPr>
                  <w:rFonts w:ascii="Cambria Math" w:hAnsi="Cambria Math" w:cs="Arial"/>
                  <w:kern w:val="0"/>
                  <w:lang w:eastAsia="ko-K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lang w:eastAsia="ko-KR"/>
                </w:rPr>
                <m:t>daily total cost</m:t>
              </m:r>
            </m:e>
          </m:d>
          <m:r>
            <m:rPr>
              <m:sty m:val="p"/>
            </m:rPr>
            <w:rPr>
              <w:rFonts w:ascii="Cambria Math" w:hAnsi="Cambria Math" w:cs="Arial"/>
              <w:kern w:val="0"/>
              <w:lang w:eastAsia="ko-KR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Arial"/>
                  <w:kern w:val="0"/>
                  <w:lang w:eastAsia="ko-KR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lang w:eastAsia="ko-KR"/>
                </w:rPr>
                <m:t>(daily individual cost)</m:t>
              </m:r>
            </m:e>
          </m:nary>
        </m:oMath>
      </m:oMathPara>
    </w:p>
    <w:p w14:paraId="2ECD2EA3" w14:textId="77777777" w:rsidR="00D56A53" w:rsidRDefault="00D56A53" w:rsidP="004B3F82">
      <w:pPr>
        <w:rPr>
          <w:rFonts w:ascii="Arial" w:hAnsi="Arial" w:cs="Arial"/>
          <w:kern w:val="0"/>
          <w:lang w:eastAsia="ko-KR"/>
        </w:rPr>
      </w:pPr>
    </w:p>
    <w:p w14:paraId="406EB49E" w14:textId="3F96568D" w:rsidR="00C84F1F" w:rsidRPr="00335ADE" w:rsidRDefault="00EB57B0" w:rsidP="004B3F82">
      <w:pPr>
        <w:rPr>
          <w:rFonts w:ascii="Arial" w:hAnsi="Arial" w:cs="Arial"/>
          <w:b/>
          <w:kern w:val="0"/>
          <w:sz w:val="28"/>
          <w:lang w:eastAsia="ko-KR"/>
        </w:rPr>
      </w:pPr>
      <w:r>
        <w:rPr>
          <w:rFonts w:ascii="Arial" w:hAnsi="Arial" w:cs="Arial"/>
          <w:b/>
          <w:kern w:val="0"/>
          <w:sz w:val="28"/>
          <w:lang w:eastAsia="ko-KR"/>
        </w:rPr>
        <w:t>4</w:t>
      </w:r>
      <w:r w:rsidR="00C84F1F" w:rsidRPr="00335ADE">
        <w:rPr>
          <w:rFonts w:ascii="Arial" w:hAnsi="Arial" w:cs="Arial"/>
          <w:b/>
          <w:kern w:val="0"/>
          <w:sz w:val="28"/>
          <w:lang w:eastAsia="ko-KR"/>
        </w:rPr>
        <w:t>.</w:t>
      </w:r>
      <w:r>
        <w:rPr>
          <w:rFonts w:ascii="Arial" w:hAnsi="Arial" w:cs="Arial"/>
          <w:b/>
          <w:kern w:val="0"/>
          <w:sz w:val="28"/>
          <w:lang w:eastAsia="ko-KR"/>
        </w:rPr>
        <w:t>2</w:t>
      </w:r>
      <w:r w:rsidR="00C84F1F" w:rsidRPr="00335ADE">
        <w:rPr>
          <w:rFonts w:ascii="Arial" w:hAnsi="Arial" w:cs="Arial"/>
          <w:b/>
          <w:kern w:val="0"/>
          <w:sz w:val="28"/>
          <w:lang w:eastAsia="ko-KR"/>
        </w:rPr>
        <w:t xml:space="preserve"> </w:t>
      </w:r>
      <w:r w:rsidR="00020D7E">
        <w:rPr>
          <w:rFonts w:ascii="Arial" w:hAnsi="Arial" w:cs="Arial"/>
          <w:b/>
          <w:kern w:val="0"/>
          <w:sz w:val="28"/>
          <w:lang w:eastAsia="ko-KR"/>
        </w:rPr>
        <w:t>Alternative Charging Plans</w:t>
      </w:r>
    </w:p>
    <w:p w14:paraId="51B192A1" w14:textId="7BD6B854" w:rsidR="002406DE" w:rsidRDefault="002406DE" w:rsidP="004B3F82">
      <w:pPr>
        <w:rPr>
          <w:rFonts w:ascii="Arial" w:hAnsi="Arial" w:cs="Arial"/>
          <w:kern w:val="0"/>
          <w:lang w:eastAsia="ko-KR"/>
        </w:rPr>
      </w:pPr>
    </w:p>
    <w:p w14:paraId="3F140829" w14:textId="6265E514" w:rsidR="00D56A53" w:rsidRDefault="00B931CE" w:rsidP="004B3F82">
      <w:pPr>
        <w:jc w:val="left"/>
        <w:rPr>
          <w:rFonts w:ascii="Arial" w:hAnsi="Arial" w:cs="Arial"/>
          <w:kern w:val="0"/>
          <w:lang w:eastAsia="ko-KR"/>
        </w:rPr>
      </w:pPr>
      <w:r>
        <w:rPr>
          <w:rFonts w:ascii="Arial" w:hAnsi="Arial" w:cs="Arial"/>
          <w:kern w:val="0"/>
          <w:lang w:eastAsia="ko-KR"/>
        </w:rPr>
        <w:t>As soon as an EV is parked at home</w:t>
      </w:r>
      <w:r w:rsidR="004B3F82">
        <w:rPr>
          <w:rFonts w:ascii="Arial" w:hAnsi="Arial" w:cs="Arial" w:hint="eastAsia"/>
          <w:kern w:val="0"/>
          <w:lang w:eastAsia="ko-KR"/>
        </w:rPr>
        <w:t>,</w:t>
      </w:r>
      <w:r>
        <w:rPr>
          <w:rFonts w:ascii="Arial" w:hAnsi="Arial" w:cs="Arial"/>
          <w:kern w:val="0"/>
          <w:lang w:eastAsia="ko-KR"/>
        </w:rPr>
        <w:t xml:space="preserve"> it informs the EV agent how much time it needs to be fully charged and when its next departure is.</w:t>
      </w:r>
      <w:r w:rsidR="004B3F82">
        <w:rPr>
          <w:rFonts w:ascii="Arial" w:hAnsi="Arial" w:cs="Arial"/>
          <w:kern w:val="0"/>
          <w:lang w:eastAsia="ko-KR"/>
        </w:rPr>
        <w:t xml:space="preserve"> EV agent</w:t>
      </w:r>
      <w:r>
        <w:rPr>
          <w:rFonts w:ascii="Arial" w:hAnsi="Arial" w:cs="Arial"/>
          <w:kern w:val="0"/>
          <w:lang w:eastAsia="ko-KR"/>
        </w:rPr>
        <w:t xml:space="preserve"> makes one</w:t>
      </w:r>
      <w:r w:rsidR="00F13094">
        <w:rPr>
          <w:rFonts w:ascii="Arial" w:hAnsi="Arial" w:cs="Arial"/>
          <w:kern w:val="0"/>
          <w:lang w:eastAsia="ko-KR"/>
        </w:rPr>
        <w:t xml:space="preserve"> of the two following decisions:</w:t>
      </w:r>
    </w:p>
    <w:p w14:paraId="4F9D58D6" w14:textId="77777777" w:rsidR="00F13094" w:rsidRDefault="00F13094" w:rsidP="004B3F82">
      <w:pPr>
        <w:jc w:val="left"/>
        <w:rPr>
          <w:rFonts w:ascii="Arial" w:hAnsi="Arial" w:cs="Arial"/>
          <w:kern w:val="0"/>
          <w:lang w:eastAsia="ko-KR"/>
        </w:rPr>
      </w:pPr>
    </w:p>
    <w:p w14:paraId="7A121A36" w14:textId="5EA7F884" w:rsidR="00F13094" w:rsidRDefault="00816CB6" w:rsidP="00F13094">
      <w:pPr>
        <w:pStyle w:val="ListParagraph"/>
        <w:numPr>
          <w:ilvl w:val="0"/>
          <w:numId w:val="4"/>
        </w:numPr>
        <w:jc w:val="left"/>
        <w:rPr>
          <w:rFonts w:ascii="Arial" w:hAnsi="Arial" w:cs="Arial"/>
          <w:kern w:val="0"/>
          <w:lang w:eastAsia="ko-KR"/>
        </w:rPr>
      </w:pPr>
      <w:r>
        <w:rPr>
          <w:rFonts w:ascii="Arial" w:hAnsi="Arial" w:cs="Arial"/>
          <w:kern w:val="0"/>
          <w:lang w:eastAsia="ko-KR"/>
        </w:rPr>
        <w:t xml:space="preserve">(time until next departure) – 60 minutes </w:t>
      </w:r>
      <m:oMath>
        <m:r>
          <w:rPr>
            <w:rFonts w:ascii="Cambria Math" w:hAnsi="Cambria Math" w:cs="Arial"/>
            <w:kern w:val="0"/>
            <w:lang w:eastAsia="ko-KR"/>
          </w:rPr>
          <m:t>≤</m:t>
        </m:r>
      </m:oMath>
      <w:r>
        <w:rPr>
          <w:rFonts w:ascii="Arial" w:hAnsi="Arial" w:cs="Arial"/>
          <w:kern w:val="0"/>
          <w:lang w:eastAsia="ko-KR"/>
        </w:rPr>
        <w:t xml:space="preserve"> (time required for charging)</w:t>
      </w:r>
    </w:p>
    <w:p w14:paraId="2B11A306" w14:textId="7F863AD3" w:rsidR="00816CB6" w:rsidRDefault="00816CB6" w:rsidP="00816CB6">
      <w:pPr>
        <w:pStyle w:val="ListParagraph"/>
        <w:jc w:val="left"/>
        <w:rPr>
          <w:rFonts w:ascii="Arial" w:hAnsi="Arial" w:cs="Arial"/>
          <w:kern w:val="0"/>
          <w:lang w:eastAsia="ko-KR"/>
        </w:rPr>
      </w:pPr>
      <w:r>
        <w:rPr>
          <w:rFonts w:ascii="Arial" w:hAnsi="Arial" w:cs="Arial"/>
          <w:kern w:val="0"/>
          <w:lang w:eastAsia="ko-KR"/>
        </w:rPr>
        <w:t>: charge the EV immediately (original charging plan)</w:t>
      </w:r>
    </w:p>
    <w:p w14:paraId="676F5C8C" w14:textId="2EDC7694" w:rsidR="00816CB6" w:rsidRDefault="00816CB6" w:rsidP="00816CB6">
      <w:pPr>
        <w:pStyle w:val="ListParagraph"/>
        <w:numPr>
          <w:ilvl w:val="0"/>
          <w:numId w:val="4"/>
        </w:numPr>
        <w:jc w:val="left"/>
        <w:rPr>
          <w:rFonts w:ascii="Arial" w:hAnsi="Arial" w:cs="Arial"/>
          <w:kern w:val="0"/>
          <w:lang w:eastAsia="ko-KR"/>
        </w:rPr>
      </w:pPr>
      <w:r>
        <w:rPr>
          <w:rFonts w:ascii="Arial" w:hAnsi="Arial" w:cs="Arial"/>
          <w:kern w:val="0"/>
          <w:lang w:eastAsia="ko-KR"/>
        </w:rPr>
        <w:t>(time until next departure) – 60 minutes</w:t>
      </w:r>
      <w:r>
        <w:rPr>
          <w:rFonts w:ascii="Arial" w:hAnsi="Arial" w:cs="Arial"/>
          <w:kern w:val="0"/>
          <w:lang w:eastAsia="ko-KR"/>
        </w:rPr>
        <w:t xml:space="preserve"> </w:t>
      </w:r>
      <m:oMath>
        <m:r>
          <w:rPr>
            <w:rFonts w:ascii="Cambria Math" w:hAnsi="Cambria Math" w:cs="Arial"/>
            <w:kern w:val="0"/>
            <w:lang w:eastAsia="ko-KR"/>
          </w:rPr>
          <m:t>&gt;</m:t>
        </m:r>
      </m:oMath>
      <w:r>
        <w:rPr>
          <w:rFonts w:ascii="Arial" w:hAnsi="Arial" w:cs="Arial"/>
          <w:kern w:val="0"/>
          <w:lang w:eastAsia="ko-KR"/>
        </w:rPr>
        <w:t xml:space="preserve"> </w:t>
      </w:r>
      <w:r>
        <w:rPr>
          <w:rFonts w:ascii="Arial" w:hAnsi="Arial" w:cs="Arial"/>
          <w:kern w:val="0"/>
          <w:lang w:eastAsia="ko-KR"/>
        </w:rPr>
        <w:t>(time required for charging)</w:t>
      </w:r>
    </w:p>
    <w:p w14:paraId="5ABDE707" w14:textId="4C501E7F" w:rsidR="00816CB6" w:rsidRPr="00F13094" w:rsidRDefault="00816CB6" w:rsidP="00816CB6">
      <w:pPr>
        <w:pStyle w:val="ListParagraph"/>
        <w:jc w:val="left"/>
        <w:rPr>
          <w:rFonts w:ascii="Arial" w:hAnsi="Arial" w:cs="Arial"/>
          <w:kern w:val="0"/>
          <w:lang w:eastAsia="ko-KR"/>
        </w:rPr>
      </w:pPr>
      <w:r>
        <w:rPr>
          <w:rFonts w:ascii="Arial" w:hAnsi="Arial" w:cs="Arial"/>
          <w:kern w:val="0"/>
          <w:lang w:eastAsia="ko-KR"/>
        </w:rPr>
        <w:t>: sends back an alternative charging plan</w:t>
      </w:r>
    </w:p>
    <w:p w14:paraId="249D932F" w14:textId="238E1B41" w:rsidR="004B3F82" w:rsidRPr="00816CB6" w:rsidRDefault="004B3F82" w:rsidP="00816CB6">
      <w:pPr>
        <w:jc w:val="left"/>
        <w:rPr>
          <w:rFonts w:ascii="Arial" w:hAnsi="Arial" w:cs="Arial"/>
          <w:kern w:val="0"/>
          <w:lang w:eastAsia="ko-KR"/>
        </w:rPr>
      </w:pPr>
    </w:p>
    <w:p w14:paraId="7BD877E0" w14:textId="77777777" w:rsidR="009170BD" w:rsidRDefault="004B3F82" w:rsidP="004B3F82">
      <w:pPr>
        <w:jc w:val="left"/>
        <w:rPr>
          <w:rFonts w:ascii="Arial" w:hAnsi="Arial" w:cs="Arial"/>
          <w:kern w:val="0"/>
          <w:lang w:eastAsia="ko-KR"/>
        </w:rPr>
      </w:pPr>
      <w:r>
        <w:rPr>
          <w:rFonts w:ascii="Arial" w:hAnsi="Arial" w:cs="Arial"/>
          <w:kern w:val="0"/>
          <w:lang w:eastAsia="ko-KR"/>
        </w:rPr>
        <w:t xml:space="preserve">Figure </w:t>
      </w:r>
      <w:r w:rsidRPr="005C6E8C">
        <w:rPr>
          <w:rFonts w:ascii="Arial" w:hAnsi="Arial" w:cs="Arial"/>
          <w:color w:val="FF0000"/>
          <w:kern w:val="0"/>
          <w:lang w:eastAsia="ko-KR"/>
        </w:rPr>
        <w:t>X</w:t>
      </w:r>
      <w:r w:rsidR="00816CB6">
        <w:rPr>
          <w:rFonts w:ascii="Arial" w:hAnsi="Arial" w:cs="Arial"/>
          <w:kern w:val="0"/>
          <w:lang w:eastAsia="ko-KR"/>
        </w:rPr>
        <w:t xml:space="preserve"> shows the SOC curves with an original charging plan and five alternative charging plans. </w:t>
      </w:r>
      <w:r w:rsidR="00475A92">
        <w:rPr>
          <w:rFonts w:ascii="Arial" w:hAnsi="Arial" w:cs="Arial"/>
          <w:kern w:val="0"/>
          <w:lang w:eastAsia="ko-KR"/>
        </w:rPr>
        <w:t xml:space="preserve">Alternative plans distribute power consumption by </w:t>
      </w:r>
      <w:r w:rsidR="00D67079">
        <w:rPr>
          <w:rFonts w:ascii="Arial" w:hAnsi="Arial" w:cs="Arial"/>
          <w:kern w:val="0"/>
          <w:lang w:eastAsia="ko-KR"/>
        </w:rPr>
        <w:t xml:space="preserve">delaying charging or dividing charging into two or three steps. Before and after each charging step, there are pauses of random lengths (marked with “R” in Figure </w:t>
      </w:r>
      <w:r w:rsidR="00D67079" w:rsidRPr="00D67079">
        <w:rPr>
          <w:rFonts w:ascii="Arial" w:hAnsi="Arial" w:cs="Arial"/>
          <w:color w:val="FF0000"/>
          <w:kern w:val="0"/>
          <w:lang w:eastAsia="ko-KR"/>
        </w:rPr>
        <w:t>X</w:t>
      </w:r>
      <w:r w:rsidR="00D67079">
        <w:rPr>
          <w:rFonts w:ascii="Arial" w:hAnsi="Arial" w:cs="Arial"/>
          <w:kern w:val="0"/>
          <w:lang w:eastAsia="ko-KR"/>
        </w:rPr>
        <w:t>), which play a key role in randomly distributing power consumption.</w:t>
      </w:r>
    </w:p>
    <w:p w14:paraId="37DD58B0" w14:textId="77777777" w:rsidR="009170BD" w:rsidRDefault="009170BD" w:rsidP="004B3F82">
      <w:pPr>
        <w:jc w:val="left"/>
        <w:rPr>
          <w:rFonts w:ascii="Arial" w:hAnsi="Arial" w:cs="Arial"/>
          <w:kern w:val="0"/>
          <w:lang w:eastAsia="ko-KR"/>
        </w:rPr>
      </w:pPr>
    </w:p>
    <w:p w14:paraId="613B2CFF" w14:textId="3A7BBBB8" w:rsidR="004B3F82" w:rsidRDefault="00816CB6" w:rsidP="004B3F82">
      <w:pPr>
        <w:jc w:val="left"/>
        <w:rPr>
          <w:rFonts w:ascii="Arial" w:hAnsi="Arial" w:cs="Arial"/>
          <w:kern w:val="0"/>
          <w:lang w:eastAsia="ko-KR"/>
        </w:rPr>
      </w:pPr>
      <w:r>
        <w:rPr>
          <w:rFonts w:ascii="Arial" w:hAnsi="Arial" w:cs="Arial"/>
          <w:kern w:val="0"/>
          <w:lang w:eastAsia="ko-KR"/>
        </w:rPr>
        <w:t xml:space="preserve">Here, a very simple SOC curve is presented as an example. This sample vehicle is used and thus discharges from 5:00 to 10:00; it </w:t>
      </w:r>
      <w:r w:rsidR="005C6E8C">
        <w:rPr>
          <w:rFonts w:ascii="Arial" w:hAnsi="Arial" w:cs="Arial"/>
          <w:kern w:val="0"/>
          <w:lang w:eastAsia="ko-KR"/>
        </w:rPr>
        <w:t>starts charging at 10:00 (</w:t>
      </w:r>
      <w:r w:rsidR="005C6E8C" w:rsidRPr="005C6E8C">
        <w:rPr>
          <w:rFonts w:ascii="Arial" w:hAnsi="Arial" w:cs="Arial"/>
          <w:i/>
          <w:kern w:val="0"/>
          <w:lang w:eastAsia="ko-KR"/>
        </w:rPr>
        <w:t>t</w:t>
      </w:r>
      <w:r w:rsidR="005C6E8C" w:rsidRPr="005C6E8C">
        <w:rPr>
          <w:rFonts w:ascii="Arial" w:hAnsi="Arial" w:cs="Arial"/>
          <w:i/>
          <w:kern w:val="0"/>
          <w:vertAlign w:val="subscript"/>
          <w:lang w:eastAsia="ko-KR"/>
        </w:rPr>
        <w:t>home</w:t>
      </w:r>
      <w:r w:rsidR="005C6E8C">
        <w:rPr>
          <w:rFonts w:ascii="Arial" w:hAnsi="Arial" w:cs="Arial"/>
          <w:kern w:val="0"/>
          <w:lang w:eastAsia="ko-KR"/>
        </w:rPr>
        <w:t>); its next scheduled departure is at 20:00 (</w:t>
      </w:r>
      <w:r w:rsidR="005C6E8C" w:rsidRPr="005C6E8C">
        <w:rPr>
          <w:rFonts w:ascii="Arial" w:hAnsi="Arial" w:cs="Arial"/>
          <w:i/>
          <w:kern w:val="0"/>
          <w:lang w:eastAsia="ko-KR"/>
        </w:rPr>
        <w:t>t</w:t>
      </w:r>
      <w:r w:rsidR="005C6E8C" w:rsidRPr="005C6E8C">
        <w:rPr>
          <w:rFonts w:ascii="Arial" w:hAnsi="Arial" w:cs="Arial"/>
          <w:i/>
          <w:kern w:val="0"/>
          <w:vertAlign w:val="subscript"/>
          <w:lang w:eastAsia="ko-KR"/>
        </w:rPr>
        <w:t>leave</w:t>
      </w:r>
      <w:r w:rsidR="005C6E8C">
        <w:rPr>
          <w:rFonts w:ascii="Arial" w:hAnsi="Arial" w:cs="Arial"/>
          <w:kern w:val="0"/>
          <w:lang w:eastAsia="ko-KR"/>
        </w:rPr>
        <w:t>).</w:t>
      </w:r>
      <w:r w:rsidR="0013715E">
        <w:rPr>
          <w:rFonts w:ascii="Arial" w:hAnsi="Arial" w:cs="Arial"/>
          <w:kern w:val="0"/>
          <w:lang w:eastAsia="ko-KR"/>
        </w:rPr>
        <w:t xml:space="preserve"> </w:t>
      </w:r>
      <w:r w:rsidR="005C6E8C">
        <w:rPr>
          <w:rFonts w:ascii="Arial" w:hAnsi="Arial" w:cs="Arial"/>
          <w:kern w:val="0"/>
          <w:lang w:eastAsia="ko-KR"/>
        </w:rPr>
        <w:t xml:space="preserve">The curves in Figure </w:t>
      </w:r>
      <w:r w:rsidR="005C6E8C" w:rsidRPr="005C6E8C">
        <w:rPr>
          <w:rFonts w:ascii="Arial" w:hAnsi="Arial" w:cs="Arial"/>
          <w:color w:val="FF0000"/>
          <w:kern w:val="0"/>
          <w:lang w:eastAsia="ko-KR"/>
        </w:rPr>
        <w:t>X</w:t>
      </w:r>
      <w:r w:rsidR="005C6E8C">
        <w:rPr>
          <w:rFonts w:ascii="Arial" w:hAnsi="Arial" w:cs="Arial"/>
          <w:color w:val="FF0000"/>
          <w:kern w:val="0"/>
          <w:lang w:eastAsia="ko-KR"/>
        </w:rPr>
        <w:t xml:space="preserve"> </w:t>
      </w:r>
      <w:r w:rsidR="005C6E8C">
        <w:rPr>
          <w:rFonts w:ascii="Arial" w:hAnsi="Arial" w:cs="Arial"/>
          <w:kern w:val="0"/>
          <w:lang w:eastAsia="ko-KR"/>
        </w:rPr>
        <w:t xml:space="preserve">confirm that </w:t>
      </w:r>
      <w:r w:rsidR="0099598E">
        <w:rPr>
          <w:rFonts w:ascii="Arial" w:hAnsi="Arial" w:cs="Arial"/>
          <w:kern w:val="0"/>
          <w:lang w:eastAsia="ko-KR"/>
        </w:rPr>
        <w:t xml:space="preserve">SOC between </w:t>
      </w:r>
      <w:r w:rsidR="0099598E" w:rsidRPr="005C6E8C">
        <w:rPr>
          <w:rFonts w:ascii="Arial" w:hAnsi="Arial" w:cs="Arial"/>
          <w:i/>
          <w:kern w:val="0"/>
          <w:lang w:eastAsia="ko-KR"/>
        </w:rPr>
        <w:t>t</w:t>
      </w:r>
      <w:r w:rsidR="0099598E" w:rsidRPr="005C6E8C">
        <w:rPr>
          <w:rFonts w:ascii="Arial" w:hAnsi="Arial" w:cs="Arial"/>
          <w:i/>
          <w:kern w:val="0"/>
          <w:vertAlign w:val="subscript"/>
          <w:lang w:eastAsia="ko-KR"/>
        </w:rPr>
        <w:t>home</w:t>
      </w:r>
      <w:r w:rsidR="0099598E">
        <w:rPr>
          <w:rFonts w:ascii="Arial" w:hAnsi="Arial" w:cs="Arial"/>
          <w:kern w:val="0"/>
          <w:lang w:eastAsia="ko-KR"/>
        </w:rPr>
        <w:t xml:space="preserve"> and </w:t>
      </w:r>
      <w:r w:rsidR="0099598E" w:rsidRPr="005C6E8C">
        <w:rPr>
          <w:rFonts w:ascii="Arial" w:hAnsi="Arial" w:cs="Arial"/>
          <w:i/>
          <w:kern w:val="0"/>
          <w:lang w:eastAsia="ko-KR"/>
        </w:rPr>
        <w:t>t</w:t>
      </w:r>
      <w:r w:rsidR="0099598E" w:rsidRPr="005C6E8C">
        <w:rPr>
          <w:rFonts w:ascii="Arial" w:hAnsi="Arial" w:cs="Arial"/>
          <w:i/>
          <w:kern w:val="0"/>
          <w:vertAlign w:val="subscript"/>
          <w:lang w:eastAsia="ko-KR"/>
        </w:rPr>
        <w:t>leave</w:t>
      </w:r>
      <w:r w:rsidR="0099598E">
        <w:rPr>
          <w:rFonts w:ascii="Arial" w:hAnsi="Arial" w:cs="Arial"/>
          <w:kern w:val="0"/>
          <w:lang w:eastAsia="ko-KR"/>
        </w:rPr>
        <w:t xml:space="preserve"> changes differently</w:t>
      </w:r>
      <w:r w:rsidR="005C6E8C">
        <w:rPr>
          <w:rFonts w:ascii="Arial" w:hAnsi="Arial" w:cs="Arial"/>
          <w:color w:val="FF0000"/>
          <w:kern w:val="0"/>
          <w:lang w:eastAsia="ko-KR"/>
        </w:rPr>
        <w:t xml:space="preserve"> </w:t>
      </w:r>
      <w:r w:rsidR="0099598E">
        <w:rPr>
          <w:rFonts w:ascii="Arial" w:hAnsi="Arial" w:cs="Arial"/>
          <w:kern w:val="0"/>
          <w:lang w:eastAsia="ko-KR"/>
        </w:rPr>
        <w:t xml:space="preserve">as different alternative charging plans are applied. </w:t>
      </w:r>
      <w:r w:rsidR="00475A92">
        <w:rPr>
          <w:rFonts w:ascii="Arial" w:hAnsi="Arial" w:cs="Arial"/>
          <w:kern w:val="0"/>
          <w:lang w:eastAsia="ko-KR"/>
        </w:rPr>
        <w:t xml:space="preserve">Table </w:t>
      </w:r>
      <w:r w:rsidR="00475A92" w:rsidRPr="00D67079">
        <w:rPr>
          <w:rFonts w:ascii="Arial" w:hAnsi="Arial" w:cs="Arial"/>
          <w:color w:val="FF0000"/>
          <w:kern w:val="0"/>
          <w:lang w:eastAsia="ko-KR"/>
        </w:rPr>
        <w:t>A</w:t>
      </w:r>
      <w:r w:rsidR="00475A92">
        <w:rPr>
          <w:rFonts w:ascii="Arial" w:hAnsi="Arial" w:cs="Arial"/>
          <w:kern w:val="0"/>
          <w:lang w:eastAsia="ko-KR"/>
        </w:rPr>
        <w:t xml:space="preserve"> characterizes all charging plans. </w:t>
      </w:r>
      <w:r w:rsidR="00D67079">
        <w:rPr>
          <w:rFonts w:ascii="Arial" w:hAnsi="Arial" w:cs="Arial"/>
          <w:kern w:val="0"/>
          <w:lang w:eastAsia="ko-KR"/>
        </w:rPr>
        <w:t>In Alternative Plans 2 and 4, the first charging step starts immediately; however, the second and third steps are placed randomly.</w:t>
      </w:r>
    </w:p>
    <w:p w14:paraId="54020072" w14:textId="77777777" w:rsidR="009170BD" w:rsidRDefault="009170BD" w:rsidP="004B3F82">
      <w:pPr>
        <w:jc w:val="left"/>
        <w:rPr>
          <w:rFonts w:ascii="Arial" w:hAnsi="Arial" w:cs="Arial"/>
          <w:kern w:val="0"/>
          <w:lang w:eastAsia="ko-KR"/>
        </w:rPr>
      </w:pPr>
    </w:p>
    <w:p w14:paraId="5B7E539D" w14:textId="1BE62BC2" w:rsidR="00475A92" w:rsidRDefault="009170BD" w:rsidP="004B3F82">
      <w:pPr>
        <w:jc w:val="left"/>
        <w:rPr>
          <w:rFonts w:ascii="Arial" w:hAnsi="Arial" w:cs="Arial"/>
          <w:kern w:val="0"/>
          <w:lang w:eastAsia="ko-KR"/>
        </w:rPr>
      </w:pPr>
      <w:r>
        <w:rPr>
          <w:rFonts w:ascii="Arial" w:hAnsi="Arial" w:cs="Arial" w:hint="eastAsia"/>
          <w:noProof/>
          <w:kern w:val="0"/>
        </w:rPr>
        <w:drawing>
          <wp:inline distT="0" distB="0" distL="0" distR="0" wp14:anchorId="68296C85" wp14:editId="67B2DE2B">
            <wp:extent cx="5274310" cy="59245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 X_SOC Graph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5614" w14:textId="77777777" w:rsidR="009170BD" w:rsidRDefault="009170BD" w:rsidP="009170BD">
      <w:pPr>
        <w:jc w:val="center"/>
        <w:rPr>
          <w:rFonts w:ascii="Arial" w:hAnsi="Arial" w:cs="Arial"/>
          <w:kern w:val="0"/>
          <w:lang w:eastAsia="ko-KR"/>
        </w:rPr>
      </w:pPr>
      <w:r>
        <w:rPr>
          <w:rFonts w:ascii="Arial" w:hAnsi="Arial" w:cs="Arial"/>
          <w:kern w:val="0"/>
          <w:lang w:eastAsia="ko-KR"/>
        </w:rPr>
        <w:t>Figure X: SOC curves with different charging plans</w:t>
      </w:r>
    </w:p>
    <w:p w14:paraId="73FEFA1B" w14:textId="77777777" w:rsidR="009170BD" w:rsidRPr="00D56A53" w:rsidRDefault="009170BD" w:rsidP="009170BD">
      <w:pPr>
        <w:jc w:val="center"/>
        <w:rPr>
          <w:rFonts w:ascii="Arial" w:hAnsi="Arial" w:cs="Arial"/>
          <w:kern w:val="0"/>
          <w:lang w:eastAsia="ko-KR"/>
        </w:rPr>
      </w:pPr>
      <w:r>
        <w:rPr>
          <w:rFonts w:ascii="Arial" w:hAnsi="Arial" w:cs="Arial"/>
          <w:kern w:val="0"/>
          <w:lang w:eastAsia="ko-KR"/>
        </w:rPr>
        <w:t>(a) original charging plan, (b)-(f) alternative charging plans 1 through 5</w:t>
      </w:r>
    </w:p>
    <w:p w14:paraId="1A03EBDE" w14:textId="77777777" w:rsidR="009170BD" w:rsidRDefault="009170BD" w:rsidP="004B3F82">
      <w:pPr>
        <w:jc w:val="left"/>
        <w:rPr>
          <w:rFonts w:ascii="Arial" w:hAnsi="Arial" w:cs="Arial"/>
          <w:kern w:val="0"/>
          <w:lang w:eastAsia="ko-KR"/>
        </w:rPr>
      </w:pPr>
    </w:p>
    <w:p w14:paraId="18566793" w14:textId="77777777" w:rsidR="0095559B" w:rsidRDefault="0095559B" w:rsidP="004B3F82">
      <w:pPr>
        <w:jc w:val="left"/>
        <w:rPr>
          <w:rFonts w:ascii="Arial" w:hAnsi="Arial" w:cs="Arial"/>
          <w:kern w:val="0"/>
          <w:lang w:eastAsia="ko-KR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018"/>
        <w:gridCol w:w="1843"/>
        <w:gridCol w:w="1746"/>
      </w:tblGrid>
      <w:tr w:rsidR="00475A92" w14:paraId="35DAB5FA" w14:textId="77777777" w:rsidTr="00475A92">
        <w:tc>
          <w:tcPr>
            <w:tcW w:w="2689" w:type="dxa"/>
            <w:vAlign w:val="center"/>
          </w:tcPr>
          <w:p w14:paraId="4DA6ADD6" w14:textId="77777777" w:rsidR="00475A92" w:rsidRDefault="00475A92" w:rsidP="00475A92">
            <w:pPr>
              <w:jc w:val="center"/>
              <w:rPr>
                <w:rFonts w:ascii="Arial" w:hAnsi="Arial" w:cs="Arial"/>
                <w:kern w:val="0"/>
                <w:lang w:eastAsia="ko-KR"/>
              </w:rPr>
            </w:pPr>
          </w:p>
        </w:tc>
        <w:tc>
          <w:tcPr>
            <w:tcW w:w="2018" w:type="dxa"/>
            <w:vAlign w:val="center"/>
          </w:tcPr>
          <w:p w14:paraId="0E67B992" w14:textId="7ED575F5" w:rsidR="00475A92" w:rsidRDefault="00475A92" w:rsidP="00475A92">
            <w:pPr>
              <w:jc w:val="center"/>
              <w:rPr>
                <w:rFonts w:ascii="Arial" w:hAnsi="Arial" w:cs="Arial"/>
                <w:kern w:val="0"/>
                <w:lang w:eastAsia="ko-KR"/>
              </w:rPr>
            </w:pPr>
            <w:r>
              <w:rPr>
                <w:rFonts w:ascii="Arial" w:hAnsi="Arial" w:cs="Arial"/>
                <w:kern w:val="0"/>
                <w:lang w:eastAsia="ko-KR"/>
              </w:rPr>
              <w:t>Start</w:t>
            </w:r>
          </w:p>
        </w:tc>
        <w:tc>
          <w:tcPr>
            <w:tcW w:w="1843" w:type="dxa"/>
            <w:vAlign w:val="center"/>
          </w:tcPr>
          <w:p w14:paraId="4F8C0EDD" w14:textId="77777777" w:rsidR="00475A92" w:rsidRDefault="00475A92" w:rsidP="00475A92">
            <w:pPr>
              <w:jc w:val="center"/>
              <w:rPr>
                <w:rFonts w:ascii="Arial" w:hAnsi="Arial" w:cs="Arial"/>
                <w:kern w:val="0"/>
                <w:lang w:eastAsia="ko-KR"/>
              </w:rPr>
            </w:pPr>
            <w:r>
              <w:rPr>
                <w:rFonts w:ascii="Arial" w:hAnsi="Arial" w:cs="Arial"/>
                <w:kern w:val="0"/>
                <w:lang w:eastAsia="ko-KR"/>
              </w:rPr>
              <w:t>Number of Steps</w:t>
            </w:r>
          </w:p>
        </w:tc>
        <w:tc>
          <w:tcPr>
            <w:tcW w:w="1746" w:type="dxa"/>
            <w:vAlign w:val="center"/>
          </w:tcPr>
          <w:p w14:paraId="04E3E527" w14:textId="4B231FA8" w:rsidR="00475A92" w:rsidRDefault="00475A92" w:rsidP="00475A92">
            <w:pPr>
              <w:jc w:val="center"/>
              <w:rPr>
                <w:rFonts w:ascii="Arial" w:hAnsi="Arial" w:cs="Arial"/>
                <w:kern w:val="0"/>
                <w:lang w:eastAsia="ko-KR"/>
              </w:rPr>
            </w:pPr>
            <w:r>
              <w:rPr>
                <w:rFonts w:ascii="Arial" w:hAnsi="Arial" w:cs="Arial"/>
                <w:kern w:val="0"/>
                <w:lang w:eastAsia="ko-KR"/>
              </w:rPr>
              <w:t>Figure</w:t>
            </w:r>
          </w:p>
        </w:tc>
      </w:tr>
      <w:tr w:rsidR="00475A92" w14:paraId="4CFE8316" w14:textId="77777777" w:rsidTr="00475A92">
        <w:tc>
          <w:tcPr>
            <w:tcW w:w="2689" w:type="dxa"/>
            <w:vAlign w:val="center"/>
          </w:tcPr>
          <w:p w14:paraId="22840320" w14:textId="7672EB87" w:rsidR="00475A92" w:rsidRDefault="00475A92" w:rsidP="00475A92">
            <w:pPr>
              <w:jc w:val="center"/>
              <w:rPr>
                <w:rFonts w:ascii="Arial" w:hAnsi="Arial" w:cs="Arial"/>
                <w:kern w:val="0"/>
                <w:lang w:eastAsia="ko-KR"/>
              </w:rPr>
            </w:pPr>
            <w:r>
              <w:rPr>
                <w:rFonts w:ascii="Arial" w:hAnsi="Arial" w:cs="Arial"/>
                <w:kern w:val="0"/>
                <w:lang w:eastAsia="ko-KR"/>
              </w:rPr>
              <w:t>Original Plan</w:t>
            </w:r>
          </w:p>
        </w:tc>
        <w:tc>
          <w:tcPr>
            <w:tcW w:w="2018" w:type="dxa"/>
            <w:vAlign w:val="center"/>
          </w:tcPr>
          <w:p w14:paraId="3D78AB28" w14:textId="2C81AA34" w:rsidR="00475A92" w:rsidRDefault="00475A92" w:rsidP="00475A92">
            <w:pPr>
              <w:jc w:val="center"/>
              <w:rPr>
                <w:rFonts w:ascii="Arial" w:hAnsi="Arial" w:cs="Arial"/>
                <w:kern w:val="0"/>
                <w:lang w:eastAsia="ko-KR"/>
              </w:rPr>
            </w:pPr>
            <w:r>
              <w:rPr>
                <w:rFonts w:ascii="Arial" w:hAnsi="Arial" w:cs="Arial"/>
                <w:kern w:val="0"/>
                <w:lang w:eastAsia="ko-KR"/>
              </w:rPr>
              <w:t>Immediate</w:t>
            </w:r>
          </w:p>
        </w:tc>
        <w:tc>
          <w:tcPr>
            <w:tcW w:w="1843" w:type="dxa"/>
            <w:vAlign w:val="center"/>
          </w:tcPr>
          <w:p w14:paraId="55510D83" w14:textId="77777777" w:rsidR="00475A92" w:rsidRDefault="00475A92" w:rsidP="00475A92">
            <w:pPr>
              <w:jc w:val="center"/>
              <w:rPr>
                <w:rFonts w:ascii="Arial" w:hAnsi="Arial" w:cs="Arial"/>
                <w:kern w:val="0"/>
                <w:lang w:eastAsia="ko-KR"/>
              </w:rPr>
            </w:pPr>
            <w:r>
              <w:rPr>
                <w:rFonts w:ascii="Arial" w:hAnsi="Arial" w:cs="Arial"/>
                <w:kern w:val="0"/>
                <w:lang w:eastAsia="ko-KR"/>
              </w:rPr>
              <w:t>1</w:t>
            </w:r>
          </w:p>
        </w:tc>
        <w:tc>
          <w:tcPr>
            <w:tcW w:w="1746" w:type="dxa"/>
            <w:vAlign w:val="center"/>
          </w:tcPr>
          <w:p w14:paraId="2B03D491" w14:textId="6477EBBC" w:rsidR="00475A92" w:rsidRPr="00475A92" w:rsidRDefault="00475A92" w:rsidP="00475A92">
            <w:pPr>
              <w:jc w:val="center"/>
              <w:rPr>
                <w:rFonts w:ascii="Arial" w:hAnsi="Arial" w:cs="Arial"/>
                <w:color w:val="FF0000"/>
                <w:kern w:val="0"/>
                <w:lang w:eastAsia="ko-KR"/>
              </w:rPr>
            </w:pPr>
            <w:r w:rsidRPr="00475A92">
              <w:rPr>
                <w:rFonts w:ascii="Arial" w:hAnsi="Arial" w:cs="Arial"/>
                <w:color w:val="FF0000"/>
                <w:kern w:val="0"/>
                <w:lang w:eastAsia="ko-KR"/>
              </w:rPr>
              <w:t>X(a)</w:t>
            </w:r>
          </w:p>
        </w:tc>
      </w:tr>
      <w:tr w:rsidR="00475A92" w14:paraId="688F17C8" w14:textId="77777777" w:rsidTr="00475A92">
        <w:tc>
          <w:tcPr>
            <w:tcW w:w="2689" w:type="dxa"/>
            <w:vAlign w:val="center"/>
          </w:tcPr>
          <w:p w14:paraId="5AF7B69C" w14:textId="11BB339A" w:rsidR="00475A92" w:rsidRDefault="00475A92" w:rsidP="00475A92">
            <w:pPr>
              <w:jc w:val="center"/>
              <w:rPr>
                <w:rFonts w:ascii="Arial" w:hAnsi="Arial" w:cs="Arial"/>
                <w:kern w:val="0"/>
                <w:lang w:eastAsia="ko-KR"/>
              </w:rPr>
            </w:pPr>
            <w:r>
              <w:rPr>
                <w:rFonts w:ascii="Arial" w:hAnsi="Arial" w:cs="Arial"/>
                <w:kern w:val="0"/>
                <w:lang w:eastAsia="ko-KR"/>
              </w:rPr>
              <w:t>Alternative Plan 1</w:t>
            </w:r>
          </w:p>
        </w:tc>
        <w:tc>
          <w:tcPr>
            <w:tcW w:w="2018" w:type="dxa"/>
            <w:vAlign w:val="center"/>
          </w:tcPr>
          <w:p w14:paraId="6C2573C8" w14:textId="0012567F" w:rsidR="00475A92" w:rsidRDefault="00475A92" w:rsidP="00475A92">
            <w:pPr>
              <w:jc w:val="center"/>
              <w:rPr>
                <w:rFonts w:ascii="Arial" w:hAnsi="Arial" w:cs="Arial"/>
                <w:kern w:val="0"/>
                <w:lang w:eastAsia="ko-KR"/>
              </w:rPr>
            </w:pPr>
            <w:r>
              <w:rPr>
                <w:rFonts w:ascii="Arial" w:hAnsi="Arial" w:cs="Arial"/>
                <w:kern w:val="0"/>
                <w:lang w:eastAsia="ko-KR"/>
              </w:rPr>
              <w:t>Random</w:t>
            </w:r>
          </w:p>
        </w:tc>
        <w:tc>
          <w:tcPr>
            <w:tcW w:w="1843" w:type="dxa"/>
            <w:vAlign w:val="center"/>
          </w:tcPr>
          <w:p w14:paraId="0E30B1DC" w14:textId="640098EC" w:rsidR="00475A92" w:rsidRDefault="00475A92" w:rsidP="00475A92">
            <w:pPr>
              <w:jc w:val="center"/>
              <w:rPr>
                <w:rFonts w:ascii="Arial" w:hAnsi="Arial" w:cs="Arial"/>
                <w:kern w:val="0"/>
                <w:lang w:eastAsia="ko-KR"/>
              </w:rPr>
            </w:pPr>
            <w:r>
              <w:rPr>
                <w:rFonts w:ascii="Arial" w:hAnsi="Arial" w:cs="Arial"/>
                <w:kern w:val="0"/>
                <w:lang w:eastAsia="ko-KR"/>
              </w:rPr>
              <w:t>1</w:t>
            </w:r>
          </w:p>
        </w:tc>
        <w:tc>
          <w:tcPr>
            <w:tcW w:w="1746" w:type="dxa"/>
            <w:vAlign w:val="center"/>
          </w:tcPr>
          <w:p w14:paraId="365B5315" w14:textId="679B7A57" w:rsidR="00475A92" w:rsidRPr="00475A92" w:rsidRDefault="00475A92" w:rsidP="00475A92">
            <w:pPr>
              <w:jc w:val="center"/>
              <w:rPr>
                <w:rFonts w:ascii="Arial" w:hAnsi="Arial" w:cs="Arial"/>
                <w:color w:val="FF0000"/>
                <w:kern w:val="0"/>
                <w:lang w:eastAsia="ko-KR"/>
              </w:rPr>
            </w:pPr>
            <w:r w:rsidRPr="00475A92">
              <w:rPr>
                <w:rFonts w:ascii="Arial" w:hAnsi="Arial" w:cs="Arial"/>
                <w:color w:val="FF0000"/>
                <w:kern w:val="0"/>
                <w:lang w:eastAsia="ko-KR"/>
              </w:rPr>
              <w:t>X(b)</w:t>
            </w:r>
          </w:p>
        </w:tc>
      </w:tr>
      <w:tr w:rsidR="00475A92" w14:paraId="7967786F" w14:textId="77777777" w:rsidTr="00475A92">
        <w:tc>
          <w:tcPr>
            <w:tcW w:w="2689" w:type="dxa"/>
            <w:vAlign w:val="center"/>
          </w:tcPr>
          <w:p w14:paraId="5490349D" w14:textId="55B75A55" w:rsidR="00475A92" w:rsidRDefault="00475A92" w:rsidP="00475A92">
            <w:pPr>
              <w:jc w:val="center"/>
              <w:rPr>
                <w:rFonts w:ascii="Arial" w:hAnsi="Arial" w:cs="Arial"/>
                <w:kern w:val="0"/>
                <w:lang w:eastAsia="ko-KR"/>
              </w:rPr>
            </w:pPr>
            <w:r>
              <w:rPr>
                <w:rFonts w:ascii="Arial" w:hAnsi="Arial" w:cs="Arial"/>
                <w:kern w:val="0"/>
                <w:lang w:eastAsia="ko-KR"/>
              </w:rPr>
              <w:t>Alternative Plan 2</w:t>
            </w:r>
          </w:p>
        </w:tc>
        <w:tc>
          <w:tcPr>
            <w:tcW w:w="2018" w:type="dxa"/>
            <w:vAlign w:val="center"/>
          </w:tcPr>
          <w:p w14:paraId="3B3F4686" w14:textId="3C0ABFB1" w:rsidR="00475A92" w:rsidRDefault="00475A92" w:rsidP="00475A92">
            <w:pPr>
              <w:jc w:val="center"/>
              <w:rPr>
                <w:rFonts w:ascii="Arial" w:hAnsi="Arial" w:cs="Arial"/>
                <w:kern w:val="0"/>
                <w:lang w:eastAsia="ko-KR"/>
              </w:rPr>
            </w:pPr>
            <w:r>
              <w:rPr>
                <w:rFonts w:ascii="Arial" w:hAnsi="Arial" w:cs="Arial"/>
                <w:kern w:val="0"/>
                <w:lang w:eastAsia="ko-KR"/>
              </w:rPr>
              <w:t>Immediate</w:t>
            </w:r>
          </w:p>
        </w:tc>
        <w:tc>
          <w:tcPr>
            <w:tcW w:w="1843" w:type="dxa"/>
            <w:vAlign w:val="center"/>
          </w:tcPr>
          <w:p w14:paraId="62CC6702" w14:textId="0368BF1A" w:rsidR="00475A92" w:rsidRDefault="00475A92" w:rsidP="00475A92">
            <w:pPr>
              <w:jc w:val="center"/>
              <w:rPr>
                <w:rFonts w:ascii="Arial" w:hAnsi="Arial" w:cs="Arial"/>
                <w:kern w:val="0"/>
                <w:lang w:eastAsia="ko-KR"/>
              </w:rPr>
            </w:pPr>
            <w:r>
              <w:rPr>
                <w:rFonts w:ascii="Arial" w:hAnsi="Arial" w:cs="Arial"/>
                <w:kern w:val="0"/>
                <w:lang w:eastAsia="ko-KR"/>
              </w:rPr>
              <w:t>2</w:t>
            </w:r>
          </w:p>
        </w:tc>
        <w:tc>
          <w:tcPr>
            <w:tcW w:w="1746" w:type="dxa"/>
            <w:vAlign w:val="center"/>
          </w:tcPr>
          <w:p w14:paraId="4D881A58" w14:textId="105720CE" w:rsidR="00475A92" w:rsidRPr="00475A92" w:rsidRDefault="00475A92" w:rsidP="00475A92">
            <w:pPr>
              <w:jc w:val="center"/>
              <w:rPr>
                <w:rFonts w:ascii="Arial" w:hAnsi="Arial" w:cs="Arial"/>
                <w:color w:val="FF0000"/>
                <w:kern w:val="0"/>
                <w:lang w:eastAsia="ko-KR"/>
              </w:rPr>
            </w:pPr>
            <w:r w:rsidRPr="00475A92">
              <w:rPr>
                <w:rFonts w:ascii="Arial" w:hAnsi="Arial" w:cs="Arial"/>
                <w:color w:val="FF0000"/>
                <w:kern w:val="0"/>
                <w:lang w:eastAsia="ko-KR"/>
              </w:rPr>
              <w:t>X(c)</w:t>
            </w:r>
          </w:p>
        </w:tc>
      </w:tr>
      <w:tr w:rsidR="00475A92" w14:paraId="401A250E" w14:textId="77777777" w:rsidTr="00475A92">
        <w:tc>
          <w:tcPr>
            <w:tcW w:w="2689" w:type="dxa"/>
            <w:vAlign w:val="center"/>
          </w:tcPr>
          <w:p w14:paraId="11842BB2" w14:textId="6C5B7A69" w:rsidR="00475A92" w:rsidRDefault="00475A92" w:rsidP="00475A92">
            <w:pPr>
              <w:jc w:val="center"/>
              <w:rPr>
                <w:rFonts w:ascii="Arial" w:hAnsi="Arial" w:cs="Arial"/>
                <w:kern w:val="0"/>
                <w:lang w:eastAsia="ko-KR"/>
              </w:rPr>
            </w:pPr>
            <w:r>
              <w:rPr>
                <w:rFonts w:ascii="Arial" w:hAnsi="Arial" w:cs="Arial"/>
                <w:kern w:val="0"/>
                <w:lang w:eastAsia="ko-KR"/>
              </w:rPr>
              <w:t>Alternative Plan</w:t>
            </w:r>
            <w:r w:rsidR="00D67079">
              <w:rPr>
                <w:rFonts w:ascii="Arial" w:hAnsi="Arial" w:cs="Arial"/>
                <w:kern w:val="0"/>
                <w:lang w:eastAsia="ko-KR"/>
              </w:rPr>
              <w:t xml:space="preserve"> </w:t>
            </w:r>
            <w:r>
              <w:rPr>
                <w:rFonts w:ascii="Arial" w:hAnsi="Arial" w:cs="Arial"/>
                <w:kern w:val="0"/>
                <w:lang w:eastAsia="ko-KR"/>
              </w:rPr>
              <w:t>3</w:t>
            </w:r>
          </w:p>
        </w:tc>
        <w:tc>
          <w:tcPr>
            <w:tcW w:w="2018" w:type="dxa"/>
            <w:vAlign w:val="center"/>
          </w:tcPr>
          <w:p w14:paraId="168CF866" w14:textId="6AFAE89B" w:rsidR="00475A92" w:rsidRDefault="00475A92" w:rsidP="00475A92">
            <w:pPr>
              <w:jc w:val="center"/>
              <w:rPr>
                <w:rFonts w:ascii="Arial" w:hAnsi="Arial" w:cs="Arial"/>
                <w:kern w:val="0"/>
                <w:lang w:eastAsia="ko-KR"/>
              </w:rPr>
            </w:pPr>
            <w:r>
              <w:rPr>
                <w:rFonts w:ascii="Arial" w:hAnsi="Arial" w:cs="Arial"/>
                <w:kern w:val="0"/>
                <w:lang w:eastAsia="ko-KR"/>
              </w:rPr>
              <w:t>Random</w:t>
            </w:r>
          </w:p>
        </w:tc>
        <w:tc>
          <w:tcPr>
            <w:tcW w:w="1843" w:type="dxa"/>
            <w:vAlign w:val="center"/>
          </w:tcPr>
          <w:p w14:paraId="04E8620D" w14:textId="447C79A9" w:rsidR="00475A92" w:rsidRDefault="00475A92" w:rsidP="00475A92">
            <w:pPr>
              <w:jc w:val="center"/>
              <w:rPr>
                <w:rFonts w:ascii="Arial" w:hAnsi="Arial" w:cs="Arial"/>
                <w:kern w:val="0"/>
                <w:lang w:eastAsia="ko-KR"/>
              </w:rPr>
            </w:pPr>
            <w:r>
              <w:rPr>
                <w:rFonts w:ascii="Arial" w:hAnsi="Arial" w:cs="Arial"/>
                <w:kern w:val="0"/>
                <w:lang w:eastAsia="ko-KR"/>
              </w:rPr>
              <w:t>2</w:t>
            </w:r>
          </w:p>
        </w:tc>
        <w:tc>
          <w:tcPr>
            <w:tcW w:w="1746" w:type="dxa"/>
            <w:vAlign w:val="center"/>
          </w:tcPr>
          <w:p w14:paraId="6E0139FA" w14:textId="79922E43" w:rsidR="00475A92" w:rsidRPr="00475A92" w:rsidRDefault="00475A92" w:rsidP="00475A92">
            <w:pPr>
              <w:jc w:val="center"/>
              <w:rPr>
                <w:rFonts w:ascii="Arial" w:hAnsi="Arial" w:cs="Arial"/>
                <w:color w:val="FF0000"/>
                <w:kern w:val="0"/>
                <w:lang w:eastAsia="ko-KR"/>
              </w:rPr>
            </w:pPr>
            <w:r w:rsidRPr="00475A92">
              <w:rPr>
                <w:rFonts w:ascii="Arial" w:hAnsi="Arial" w:cs="Arial"/>
                <w:color w:val="FF0000"/>
                <w:kern w:val="0"/>
                <w:lang w:eastAsia="ko-KR"/>
              </w:rPr>
              <w:t>X(d)</w:t>
            </w:r>
          </w:p>
        </w:tc>
      </w:tr>
      <w:tr w:rsidR="00475A92" w14:paraId="201A7F00" w14:textId="77777777" w:rsidTr="00475A92">
        <w:tc>
          <w:tcPr>
            <w:tcW w:w="2689" w:type="dxa"/>
            <w:vAlign w:val="center"/>
          </w:tcPr>
          <w:p w14:paraId="460C6007" w14:textId="776FF3F2" w:rsidR="00475A92" w:rsidRDefault="00475A92" w:rsidP="00475A92">
            <w:pPr>
              <w:jc w:val="center"/>
              <w:rPr>
                <w:rFonts w:ascii="Arial" w:hAnsi="Arial" w:cs="Arial"/>
                <w:kern w:val="0"/>
                <w:lang w:eastAsia="ko-KR"/>
              </w:rPr>
            </w:pPr>
            <w:r>
              <w:rPr>
                <w:rFonts w:ascii="Arial" w:hAnsi="Arial" w:cs="Arial"/>
                <w:kern w:val="0"/>
                <w:lang w:eastAsia="ko-KR"/>
              </w:rPr>
              <w:t>Alternative Plan 4</w:t>
            </w:r>
          </w:p>
        </w:tc>
        <w:tc>
          <w:tcPr>
            <w:tcW w:w="2018" w:type="dxa"/>
            <w:vAlign w:val="center"/>
          </w:tcPr>
          <w:p w14:paraId="63CCD37E" w14:textId="76542F6B" w:rsidR="00475A92" w:rsidRDefault="00475A92" w:rsidP="00475A92">
            <w:pPr>
              <w:jc w:val="center"/>
              <w:rPr>
                <w:rFonts w:ascii="Arial" w:hAnsi="Arial" w:cs="Arial"/>
                <w:kern w:val="0"/>
                <w:lang w:eastAsia="ko-KR"/>
              </w:rPr>
            </w:pPr>
            <w:r>
              <w:rPr>
                <w:rFonts w:ascii="Arial" w:hAnsi="Arial" w:cs="Arial"/>
                <w:kern w:val="0"/>
                <w:lang w:eastAsia="ko-KR"/>
              </w:rPr>
              <w:t>Immediate</w:t>
            </w:r>
          </w:p>
        </w:tc>
        <w:tc>
          <w:tcPr>
            <w:tcW w:w="1843" w:type="dxa"/>
            <w:vAlign w:val="center"/>
          </w:tcPr>
          <w:p w14:paraId="5C6B40F5" w14:textId="16AC12B6" w:rsidR="00475A92" w:rsidRDefault="00475A92" w:rsidP="00475A92">
            <w:pPr>
              <w:jc w:val="center"/>
              <w:rPr>
                <w:rFonts w:ascii="Arial" w:hAnsi="Arial" w:cs="Arial"/>
                <w:kern w:val="0"/>
                <w:lang w:eastAsia="ko-KR"/>
              </w:rPr>
            </w:pPr>
            <w:r>
              <w:rPr>
                <w:rFonts w:ascii="Arial" w:hAnsi="Arial" w:cs="Arial"/>
                <w:kern w:val="0"/>
                <w:lang w:eastAsia="ko-KR"/>
              </w:rPr>
              <w:t>3</w:t>
            </w:r>
          </w:p>
        </w:tc>
        <w:tc>
          <w:tcPr>
            <w:tcW w:w="1746" w:type="dxa"/>
            <w:vAlign w:val="center"/>
          </w:tcPr>
          <w:p w14:paraId="2F530CB0" w14:textId="7805BFB7" w:rsidR="00475A92" w:rsidRPr="00475A92" w:rsidRDefault="00475A92" w:rsidP="00475A92">
            <w:pPr>
              <w:jc w:val="center"/>
              <w:rPr>
                <w:rFonts w:ascii="Arial" w:hAnsi="Arial" w:cs="Arial"/>
                <w:color w:val="FF0000"/>
                <w:kern w:val="0"/>
                <w:lang w:eastAsia="ko-KR"/>
              </w:rPr>
            </w:pPr>
            <w:r w:rsidRPr="00475A92">
              <w:rPr>
                <w:rFonts w:ascii="Arial" w:hAnsi="Arial" w:cs="Arial"/>
                <w:color w:val="FF0000"/>
                <w:kern w:val="0"/>
                <w:lang w:eastAsia="ko-KR"/>
              </w:rPr>
              <w:t>X(e)</w:t>
            </w:r>
          </w:p>
        </w:tc>
      </w:tr>
      <w:tr w:rsidR="00475A92" w14:paraId="76C94EAD" w14:textId="77777777" w:rsidTr="00475A92">
        <w:tc>
          <w:tcPr>
            <w:tcW w:w="2689" w:type="dxa"/>
            <w:vAlign w:val="center"/>
          </w:tcPr>
          <w:p w14:paraId="3386EC48" w14:textId="1CEE8C8B" w:rsidR="00475A92" w:rsidRDefault="00475A92" w:rsidP="00475A92">
            <w:pPr>
              <w:jc w:val="center"/>
              <w:rPr>
                <w:rFonts w:ascii="Arial" w:hAnsi="Arial" w:cs="Arial"/>
                <w:kern w:val="0"/>
                <w:lang w:eastAsia="ko-KR"/>
              </w:rPr>
            </w:pPr>
            <w:r>
              <w:rPr>
                <w:rFonts w:ascii="Arial" w:hAnsi="Arial" w:cs="Arial"/>
                <w:kern w:val="0"/>
                <w:lang w:eastAsia="ko-KR"/>
              </w:rPr>
              <w:t>Alternative Plan 5</w:t>
            </w:r>
          </w:p>
        </w:tc>
        <w:tc>
          <w:tcPr>
            <w:tcW w:w="2018" w:type="dxa"/>
            <w:vAlign w:val="center"/>
          </w:tcPr>
          <w:p w14:paraId="5A23525B" w14:textId="36BA7686" w:rsidR="00475A92" w:rsidRDefault="00475A92" w:rsidP="00475A92">
            <w:pPr>
              <w:jc w:val="center"/>
              <w:rPr>
                <w:rFonts w:ascii="Arial" w:hAnsi="Arial" w:cs="Arial"/>
                <w:kern w:val="0"/>
                <w:lang w:eastAsia="ko-KR"/>
              </w:rPr>
            </w:pPr>
            <w:r>
              <w:rPr>
                <w:rFonts w:ascii="Arial" w:hAnsi="Arial" w:cs="Arial"/>
                <w:kern w:val="0"/>
                <w:lang w:eastAsia="ko-KR"/>
              </w:rPr>
              <w:t>Random</w:t>
            </w:r>
          </w:p>
        </w:tc>
        <w:tc>
          <w:tcPr>
            <w:tcW w:w="1843" w:type="dxa"/>
            <w:vAlign w:val="center"/>
          </w:tcPr>
          <w:p w14:paraId="6BC0CC3E" w14:textId="2A61C208" w:rsidR="00475A92" w:rsidRDefault="00475A92" w:rsidP="00475A92">
            <w:pPr>
              <w:jc w:val="center"/>
              <w:rPr>
                <w:rFonts w:ascii="Arial" w:hAnsi="Arial" w:cs="Arial"/>
                <w:kern w:val="0"/>
                <w:lang w:eastAsia="ko-KR"/>
              </w:rPr>
            </w:pPr>
            <w:r>
              <w:rPr>
                <w:rFonts w:ascii="Arial" w:hAnsi="Arial" w:cs="Arial"/>
                <w:kern w:val="0"/>
                <w:lang w:eastAsia="ko-KR"/>
              </w:rPr>
              <w:t>3</w:t>
            </w:r>
          </w:p>
        </w:tc>
        <w:tc>
          <w:tcPr>
            <w:tcW w:w="1746" w:type="dxa"/>
            <w:vAlign w:val="center"/>
          </w:tcPr>
          <w:p w14:paraId="6DABE6FC" w14:textId="0F98C798" w:rsidR="00475A92" w:rsidRPr="00475A92" w:rsidRDefault="00475A92" w:rsidP="00475A92">
            <w:pPr>
              <w:jc w:val="center"/>
              <w:rPr>
                <w:rFonts w:ascii="Arial" w:hAnsi="Arial" w:cs="Arial"/>
                <w:color w:val="FF0000"/>
                <w:kern w:val="0"/>
                <w:lang w:eastAsia="ko-KR"/>
              </w:rPr>
            </w:pPr>
            <w:r w:rsidRPr="00475A92">
              <w:rPr>
                <w:rFonts w:ascii="Arial" w:hAnsi="Arial" w:cs="Arial"/>
                <w:color w:val="FF0000"/>
                <w:kern w:val="0"/>
                <w:lang w:eastAsia="ko-KR"/>
              </w:rPr>
              <w:t>X(f)</w:t>
            </w:r>
          </w:p>
        </w:tc>
      </w:tr>
    </w:tbl>
    <w:p w14:paraId="3805A017" w14:textId="2B33E00B" w:rsidR="004B3F82" w:rsidRDefault="00D67079" w:rsidP="00475A92">
      <w:pPr>
        <w:jc w:val="center"/>
        <w:rPr>
          <w:rFonts w:ascii="Arial" w:hAnsi="Arial" w:cs="Arial"/>
          <w:kern w:val="0"/>
          <w:lang w:eastAsia="ko-KR"/>
        </w:rPr>
      </w:pPr>
      <w:r>
        <w:rPr>
          <w:rFonts w:ascii="Arial" w:hAnsi="Arial" w:cs="Arial"/>
          <w:kern w:val="0"/>
          <w:lang w:eastAsia="ko-KR"/>
        </w:rPr>
        <w:t xml:space="preserve">Table </w:t>
      </w:r>
      <w:r w:rsidRPr="00D67079">
        <w:rPr>
          <w:rFonts w:ascii="Arial" w:hAnsi="Arial" w:cs="Arial"/>
          <w:color w:val="FF0000"/>
          <w:kern w:val="0"/>
          <w:lang w:eastAsia="ko-KR"/>
        </w:rPr>
        <w:t>A</w:t>
      </w:r>
      <w:r>
        <w:rPr>
          <w:rFonts w:ascii="Arial" w:hAnsi="Arial" w:cs="Arial"/>
          <w:kern w:val="0"/>
          <w:lang w:eastAsia="ko-KR"/>
        </w:rPr>
        <w:t>: Charging plans</w:t>
      </w:r>
    </w:p>
    <w:p w14:paraId="2E8C97EF" w14:textId="77777777" w:rsidR="00264A00" w:rsidRDefault="00264A00" w:rsidP="004B3F82">
      <w:pPr>
        <w:jc w:val="left"/>
        <w:rPr>
          <w:rFonts w:ascii="Arial" w:hAnsi="Arial" w:cs="Arial"/>
          <w:kern w:val="0"/>
          <w:lang w:eastAsia="ko-KR"/>
        </w:rPr>
      </w:pPr>
    </w:p>
    <w:p w14:paraId="62AD807E" w14:textId="6F9BF807" w:rsidR="00264A00" w:rsidRDefault="00264A00" w:rsidP="004B3F82">
      <w:pPr>
        <w:jc w:val="left"/>
        <w:rPr>
          <w:rFonts w:ascii="Arial" w:hAnsi="Arial" w:cs="Arial"/>
          <w:kern w:val="0"/>
          <w:lang w:eastAsia="ko-KR"/>
        </w:rPr>
      </w:pPr>
      <w:r>
        <w:rPr>
          <w:rFonts w:ascii="Arial" w:hAnsi="Arial" w:cs="Arial"/>
          <w:kern w:val="0"/>
          <w:lang w:eastAsia="ko-KR"/>
        </w:rPr>
        <w:t>(Check if the definition of “scheme” is introduced elsewhere)</w:t>
      </w:r>
    </w:p>
    <w:p w14:paraId="37BFEFC9" w14:textId="77777777" w:rsidR="00B6717A" w:rsidRDefault="00B6717A" w:rsidP="00EB57B0">
      <w:pPr>
        <w:widowControl/>
        <w:jc w:val="left"/>
        <w:rPr>
          <w:rFonts w:ascii="Arial" w:hAnsi="Arial" w:cs="Arial"/>
          <w:b/>
          <w:sz w:val="28"/>
          <w:lang w:eastAsia="ko-KR"/>
        </w:rPr>
      </w:pPr>
    </w:p>
    <w:p w14:paraId="595EBC46" w14:textId="2269A37F" w:rsidR="00B6717A" w:rsidRDefault="00B6717A">
      <w:pPr>
        <w:widowControl/>
        <w:jc w:val="left"/>
        <w:rPr>
          <w:rFonts w:ascii="Arial" w:hAnsi="Arial" w:cs="Arial"/>
          <w:b/>
          <w:sz w:val="28"/>
          <w:lang w:eastAsia="ko-KR"/>
        </w:rPr>
      </w:pPr>
      <w:r>
        <w:rPr>
          <w:rFonts w:ascii="Arial" w:hAnsi="Arial" w:cs="Arial"/>
          <w:b/>
          <w:sz w:val="28"/>
          <w:lang w:eastAsia="ko-KR"/>
        </w:rPr>
        <w:br w:type="page"/>
      </w:r>
    </w:p>
    <w:p w14:paraId="49B1FF5A" w14:textId="7983CC27" w:rsidR="00B6717A" w:rsidRDefault="00B6717A" w:rsidP="00EB57B0">
      <w:pPr>
        <w:widowControl/>
        <w:jc w:val="left"/>
        <w:rPr>
          <w:rFonts w:ascii="Arial" w:hAnsi="Arial" w:cs="Arial"/>
          <w:color w:val="262626"/>
          <w:kern w:val="0"/>
        </w:rPr>
      </w:pPr>
      <w:r w:rsidRPr="00271CE3">
        <w:rPr>
          <w:rFonts w:ascii="Arial" w:hAnsi="Arial" w:cs="Arial"/>
          <w:lang w:eastAsia="ko-KR"/>
        </w:rPr>
        <w:t xml:space="preserve">[6] </w:t>
      </w:r>
      <w:r w:rsidR="00271CE3" w:rsidRPr="00271CE3">
        <w:rPr>
          <w:rFonts w:ascii="Arial" w:hAnsi="Arial" w:cs="Arial"/>
          <w:color w:val="262626"/>
          <w:kern w:val="0"/>
        </w:rPr>
        <w:t>M. A. López et al., Optimal Microgrid Operation with Electric Vehicles, 2011 2nd IEEE PES International Conference and Exhibition on Innovative Smart Grid Technologies (ISGT Europe), 2011.</w:t>
      </w:r>
    </w:p>
    <w:p w14:paraId="38CFE288" w14:textId="0FF877FB" w:rsidR="00ED3F99" w:rsidRDefault="00ED3F99" w:rsidP="00EB57B0">
      <w:pPr>
        <w:widowControl/>
        <w:jc w:val="left"/>
        <w:rPr>
          <w:rFonts w:ascii="Arial" w:hAnsi="Arial" w:cs="Arial"/>
          <w:lang w:eastAsia="ko-KR"/>
        </w:rPr>
      </w:pPr>
      <w:r>
        <w:rPr>
          <w:rFonts w:ascii="Arial" w:hAnsi="Arial" w:cs="Arial"/>
          <w:color w:val="262626"/>
          <w:kern w:val="0"/>
        </w:rPr>
        <w:t xml:space="preserve">[7] </w:t>
      </w:r>
      <w:r>
        <w:rPr>
          <w:rFonts w:ascii="Arial" w:hAnsi="Arial" w:cs="Arial"/>
          <w:lang w:eastAsia="ko-KR"/>
        </w:rPr>
        <w:t>teslamotors.com/models</w:t>
      </w:r>
    </w:p>
    <w:p w14:paraId="7563C7E4" w14:textId="4A1F9F4A" w:rsidR="00ED3F99" w:rsidRPr="00271CE3" w:rsidRDefault="00ED3F99" w:rsidP="00EB57B0">
      <w:pPr>
        <w:widowControl/>
        <w:jc w:val="left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>[8] price source</w:t>
      </w:r>
    </w:p>
    <w:sectPr w:rsidR="00ED3F99" w:rsidRPr="00271CE3" w:rsidSect="00D70CFA">
      <w:pgSz w:w="11900" w:h="16840"/>
      <w:pgMar w:top="1440" w:right="1797" w:bottom="1440" w:left="1797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A612E"/>
    <w:multiLevelType w:val="hybridMultilevel"/>
    <w:tmpl w:val="FD3A608A"/>
    <w:lvl w:ilvl="0" w:tplc="370401C6">
      <w:start w:val="3"/>
      <w:numFmt w:val="bullet"/>
      <w:lvlText w:val="-"/>
      <w:lvlJc w:val="left"/>
      <w:pPr>
        <w:ind w:left="720" w:hanging="360"/>
      </w:pPr>
      <w:rPr>
        <w:rFonts w:ascii="Arial" w:eastAsia="바탕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9718B"/>
    <w:multiLevelType w:val="hybridMultilevel"/>
    <w:tmpl w:val="E940D4F8"/>
    <w:lvl w:ilvl="0" w:tplc="8FB0E35C"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41576"/>
    <w:multiLevelType w:val="hybridMultilevel"/>
    <w:tmpl w:val="5994F6AC"/>
    <w:lvl w:ilvl="0" w:tplc="370401C6">
      <w:start w:val="3"/>
      <w:numFmt w:val="bullet"/>
      <w:lvlText w:val="-"/>
      <w:lvlJc w:val="left"/>
      <w:pPr>
        <w:ind w:left="720" w:hanging="360"/>
      </w:pPr>
      <w:rPr>
        <w:rFonts w:ascii="Arial" w:eastAsia="바탕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B77168"/>
    <w:multiLevelType w:val="hybridMultilevel"/>
    <w:tmpl w:val="7674BB74"/>
    <w:lvl w:ilvl="0" w:tplc="EE1C606C">
      <w:start w:val="3"/>
      <w:numFmt w:val="bullet"/>
      <w:lvlText w:val="-"/>
      <w:lvlJc w:val="left"/>
      <w:pPr>
        <w:ind w:left="720" w:hanging="360"/>
      </w:pPr>
      <w:rPr>
        <w:rFonts w:ascii="Arial" w:eastAsia="바탕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A93B67"/>
    <w:multiLevelType w:val="hybridMultilevel"/>
    <w:tmpl w:val="2A009006"/>
    <w:lvl w:ilvl="0" w:tplc="02E09E02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CFA"/>
    <w:rsid w:val="00020D7E"/>
    <w:rsid w:val="000360FA"/>
    <w:rsid w:val="000C0FB6"/>
    <w:rsid w:val="000C5D7B"/>
    <w:rsid w:val="000D0D0D"/>
    <w:rsid w:val="00103F0A"/>
    <w:rsid w:val="001116D8"/>
    <w:rsid w:val="001259A9"/>
    <w:rsid w:val="0013715E"/>
    <w:rsid w:val="0018769D"/>
    <w:rsid w:val="001C189D"/>
    <w:rsid w:val="001D4545"/>
    <w:rsid w:val="001D6CB6"/>
    <w:rsid w:val="002406DE"/>
    <w:rsid w:val="00264A00"/>
    <w:rsid w:val="00271CE3"/>
    <w:rsid w:val="003039B6"/>
    <w:rsid w:val="003234AE"/>
    <w:rsid w:val="00333707"/>
    <w:rsid w:val="00335ADE"/>
    <w:rsid w:val="00357432"/>
    <w:rsid w:val="00361D8F"/>
    <w:rsid w:val="0038470B"/>
    <w:rsid w:val="003D0712"/>
    <w:rsid w:val="003E3E55"/>
    <w:rsid w:val="003F00AA"/>
    <w:rsid w:val="003F12C0"/>
    <w:rsid w:val="00410816"/>
    <w:rsid w:val="00424A9D"/>
    <w:rsid w:val="004340F5"/>
    <w:rsid w:val="004415BF"/>
    <w:rsid w:val="00475A92"/>
    <w:rsid w:val="0048396C"/>
    <w:rsid w:val="004A5425"/>
    <w:rsid w:val="004B3F82"/>
    <w:rsid w:val="004E5F3A"/>
    <w:rsid w:val="00574443"/>
    <w:rsid w:val="0059158B"/>
    <w:rsid w:val="005C6E8C"/>
    <w:rsid w:val="005E023F"/>
    <w:rsid w:val="00651CF7"/>
    <w:rsid w:val="006F6D23"/>
    <w:rsid w:val="0071037E"/>
    <w:rsid w:val="00714B77"/>
    <w:rsid w:val="00767CA5"/>
    <w:rsid w:val="007B0542"/>
    <w:rsid w:val="007C54CC"/>
    <w:rsid w:val="00816CB6"/>
    <w:rsid w:val="00834E66"/>
    <w:rsid w:val="00883C18"/>
    <w:rsid w:val="008E092E"/>
    <w:rsid w:val="009170BD"/>
    <w:rsid w:val="00924A2D"/>
    <w:rsid w:val="009419CE"/>
    <w:rsid w:val="0095559B"/>
    <w:rsid w:val="0099598E"/>
    <w:rsid w:val="009A2102"/>
    <w:rsid w:val="009A5103"/>
    <w:rsid w:val="009E591E"/>
    <w:rsid w:val="00A7485B"/>
    <w:rsid w:val="00A76FA5"/>
    <w:rsid w:val="00A81CD0"/>
    <w:rsid w:val="00A84C5C"/>
    <w:rsid w:val="00A9510E"/>
    <w:rsid w:val="00AE1C32"/>
    <w:rsid w:val="00AF26D8"/>
    <w:rsid w:val="00B46E57"/>
    <w:rsid w:val="00B6717A"/>
    <w:rsid w:val="00B82FFE"/>
    <w:rsid w:val="00B84177"/>
    <w:rsid w:val="00B931CE"/>
    <w:rsid w:val="00BB36CA"/>
    <w:rsid w:val="00BD0367"/>
    <w:rsid w:val="00BE2366"/>
    <w:rsid w:val="00BF3B1C"/>
    <w:rsid w:val="00C32D3E"/>
    <w:rsid w:val="00C44970"/>
    <w:rsid w:val="00C504BE"/>
    <w:rsid w:val="00C84ABD"/>
    <w:rsid w:val="00C84F1F"/>
    <w:rsid w:val="00D56A53"/>
    <w:rsid w:val="00D67079"/>
    <w:rsid w:val="00D70CFA"/>
    <w:rsid w:val="00DA1AF8"/>
    <w:rsid w:val="00E07DFC"/>
    <w:rsid w:val="00EA2966"/>
    <w:rsid w:val="00EB57B0"/>
    <w:rsid w:val="00EC3046"/>
    <w:rsid w:val="00ED3F99"/>
    <w:rsid w:val="00EE0CE9"/>
    <w:rsid w:val="00F13094"/>
    <w:rsid w:val="00F40435"/>
    <w:rsid w:val="00F60A70"/>
    <w:rsid w:val="00FD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A4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A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1CF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74443"/>
    <w:pPr>
      <w:widowControl/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kern w:val="0"/>
    </w:rPr>
  </w:style>
  <w:style w:type="table" w:styleId="TableGrid">
    <w:name w:val="Table Grid"/>
    <w:basedOn w:val="TableNormal"/>
    <w:uiPriority w:val="39"/>
    <w:rsid w:val="00475A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5</Pages>
  <Words>758</Words>
  <Characters>4327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Ry5jOfVuAD@student.ethz.ch</dc:creator>
  <cp:keywords/>
  <dc:description/>
  <cp:lastModifiedBy>Ry5jOfVuAD@student.ethz.ch</cp:lastModifiedBy>
  <cp:revision>31</cp:revision>
  <dcterms:created xsi:type="dcterms:W3CDTF">2015-12-08T15:08:00Z</dcterms:created>
  <dcterms:modified xsi:type="dcterms:W3CDTF">2015-12-10T20:44:00Z</dcterms:modified>
</cp:coreProperties>
</file>