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testes de</w:t>
        <w:br/>
        <w:t>amortização de empréstimos</w:t>
      </w:r>
    </w:p>
    <w:p>
      <w:pPr>
        <w:pStyle w:val="Subtitle"/>
      </w:pPr>
      <w:r>
        <w:t>Contribuição individual de Paulo Cesar Vaz</w:t>
      </w:r>
    </w:p>
    <w:p>
      <w:r>
        <w:t>Este relatório reúne a contribuição de Paulo à primeira entrega do Picsou Finance: seleção da classe, testes próprios, execução pela interface e problemas encontrados. Foram aprovados 31 testes unitários da classe e 15 passos de três casos pela interface; dois defeitos adicionais foram confirmados. A branch está publicada no fork; revisão, merge na main e consolidação do grupo permanecem pendentes.</w:t>
      </w:r>
    </w:p>
    <w:p>
      <w:pPr>
        <w:pStyle w:val="Heading1"/>
      </w:pPr>
      <w:r>
        <w:t>1 Escopo e escolha da classe</w:t>
      </w:r>
    </w:p>
    <w:p>
      <w:r>
        <w:t>LoanAmortizationService calcula parcelas, capital amortizado, juros, seguro, custos e saldo em uma data de referência. A classe possui laço de amortização, decisões sobre datas e valores e fórmulas financeiras, atendendo à exigência de uma classe com algoritmo e complexidade razoável.</w:t>
      </w:r>
    </w:p>
    <w:p>
      <w:r>
        <w:t>Complexidade ciclomática: 14 no método compute(Debt, LocalDate), com 13 decisões; soma dos métodos explícitos 30. Convenção: 1 + decisões, incluindo condicionais, laços, ternários e operadores de curto-circuito. O maior método permanece com 14 mesmo sem contar esses operadores.</w:t>
      </w:r>
    </w:p>
    <w:p>
      <w:pPr>
        <w:pStyle w:val="Heading1"/>
      </w:pPr>
      <w:r>
        <w:t>2 Versão e ambiente testados</w:t>
      </w:r>
    </w:p>
    <w:p>
      <w:r>
        <w:t>Fork do grupo: github.com/mssvivian/picsou-finance-QS_2026.2. Branch publicada: feat/teste_LoanAmortizationService_paulo. As hashes distinguem a base original do fork, o build executado e a integração da main.</w:t>
      </w:r>
    </w:p>
    <w:p>
      <w:pPr>
        <w:spacing w:after="100"/>
      </w:pPr>
      <w:r>
        <w:rPr>
          <w:rFonts w:ascii="Consolas" w:hAnsi="Consolas"/>
          <w:sz w:val="18"/>
        </w:rPr>
        <w:t>Base do fork   6b020c76cf093b8995a68df12a32e8c5b21e9144</w:t>
        <w:br/>
        <w:t>Build testado  58c71b93544c27ff6f9b032dfe2c4df69fe01aa0</w:t>
        <w:br/>
        <w:t>Integração     4d7a2d362cc12bd24e0d6352beceaac7fc0ec6c6</w:t>
      </w:r>
    </w:p>
    <w:p>
      <w:r>
        <w:t>Código de empréstimos preservado; a main inclui ajuste do upload Finary, fora deste escopo. Aplicação construída localmente, backend real e demo desativado, em localhost:8082. Imagem picsou-paulo:entrega1-58c71b9-lf; adaptação operacional de CRLF para LF no entrypoint. Testes pela interface em 11/10/2026: Windows, Codex In-app Browser, versão não exposta, idioma francês.</w:t>
      </w:r>
    </w:p>
    <w:p>
      <w:pPr>
        <w:pStyle w:val="Heading1"/>
      </w:pPr>
      <w:r>
        <w:t>3 Responsabilidade individual</w:t>
      </w:r>
    </w:p>
    <w:p>
      <w:r>
        <w:t>Paulo é responsável pelos cenários unitários acrescentados, casos de empréstimos, evidências, relatos de defeitos e contribuição ao Plano de Teste IEEE 829. A execução técnica foi assistida pelo Codex sob solicitação de Paulo e está identificada nos registros. Este relatório também fornece os números e exemplos para os slides.</w:t>
      </w:r>
    </w:p>
    <w:p>
      <w:r>
        <w:br w:type="page"/>
      </w:r>
    </w:p>
    <w:p>
      <w:pPr>
        <w:pStyle w:val="Heading1"/>
      </w:pPr>
      <w:r>
        <w:t>4 Testes unitários e evidências</w:t>
      </w:r>
    </w:p>
    <w:p>
      <w:r>
        <w:t>JUnit 5 e AssertJ, com instanciação direta do serviço e data de referência controlada. A classe não exige banco, contexto Spring ou Mockito. Nove testes herdados foram preservados; a contribuição acrescenta 22 execuções aprovadas, identificáveis pelo diff e pelos commits.</w:t>
      </w:r>
    </w:p>
    <w:p>
      <w:r>
        <w:t>Cenários próprios: parcela automática sem juros; ajuste do último pagamento com parcela explícita; limite de amortização ao saldo; seguro e tarifa; principal zero e valores opcionais nulos; datas ausentes, iguais ou invertidas; parcelas pagas e saldo antes, durante e após o contrato. Os esperados usam cálculos independentes e regras documentadas.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8"/>
        <w:gridCol w:w="6912"/>
      </w:tblGrid>
      <w:tr>
        <w:trPr>
          <w:cantSplit/>
          <w:tblHeader/>
        </w:trPr>
        <w:tc>
          <w:tcPr>
            <w:tcW w:type="dxa" w:w="3168"/>
            <w:vAlign w:val="center"/>
            <w:shd w:fill="20364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Execução</w:t>
            </w:r>
          </w:p>
        </w:tc>
        <w:tc>
          <w:tcPr>
            <w:tcW w:type="dxa" w:w="6912"/>
            <w:vAlign w:val="center"/>
            <w:shd w:fill="20364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3F6F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47" w:lineRule="auto"/>
            </w:pPr>
            <w:r>
              <w:rPr>
                <w:sz w:val="20"/>
              </w:rPr>
              <w:t>Classe original</w:t>
            </w:r>
          </w:p>
        </w:tc>
        <w:tc>
          <w:tcPr>
            <w:tcW w:type="dxa" w:w="6912"/>
            <w:vAlign w:val="center"/>
            <w:shd w:fill="F3F6F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47" w:lineRule="auto"/>
            </w:pPr>
            <w:r>
              <w:rPr>
                <w:sz w:val="20"/>
              </w:rPr>
              <w:t>9 aprovados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47" w:lineRule="auto"/>
            </w:pPr>
            <w:r>
              <w:rPr>
                <w:sz w:val="20"/>
              </w:rPr>
              <w:t>Classe ampliada</w:t>
            </w:r>
          </w:p>
        </w:tc>
        <w:tc>
          <w:tcPr>
            <w:tcW w:type="dxa" w:w="691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47" w:lineRule="auto"/>
            </w:pPr>
            <w:r>
              <w:rPr>
                <w:sz w:val="20"/>
              </w:rPr>
              <w:t>31 aprovados no total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3F6F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47" w:lineRule="auto"/>
            </w:pPr>
            <w:r>
              <w:rPr>
                <w:sz w:val="20"/>
              </w:rPr>
              <w:t>Reprodução dos defeitos</w:t>
            </w:r>
          </w:p>
        </w:tc>
        <w:tc>
          <w:tcPr>
            <w:tcW w:type="dxa" w:w="6912"/>
            <w:vAlign w:val="center"/>
            <w:shd w:fill="F3F6F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47" w:lineRule="auto"/>
            </w:pPr>
            <w:r>
              <w:rPr>
                <w:sz w:val="20"/>
              </w:rPr>
              <w:t>2 falhas de asserção confirmadas; ativação explícita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47" w:lineRule="auto"/>
            </w:pPr>
            <w:r>
              <w:rPr>
                <w:sz w:val="20"/>
              </w:rPr>
              <w:t>Suíte atual após integração</w:t>
            </w:r>
          </w:p>
        </w:tc>
        <w:tc>
          <w:tcPr>
            <w:tcW w:type="dxa" w:w="691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47" w:lineRule="auto"/>
            </w:pPr>
            <w:r>
              <w:rPr>
                <w:sz w:val="20"/>
              </w:rPr>
              <w:t>33 casos: 31 aprovados, zero erros e 2 ignorados</w:t>
            </w:r>
          </w:p>
        </w:tc>
      </w:tr>
    </w:tbl>
    <w:p>
      <w:pPr>
        <w:spacing w:after="0"/>
      </w:pPr>
    </w:p>
    <w:p>
      <w:r>
        <w:t>A main removeu os testes originais do backend. A suíte atual contém somente os dois arquivos de amortização; as duas reproduções são ignoradas por padrão. Os resultados anteriores de 1271 casos, 20 erros e 35 ignorados são históricos, associados à versão anterior. Os defeitos persistem na integração.</w:t>
      </w:r>
    </w:p>
    <w:p>
      <w:pPr>
        <w:pStyle w:val="Heading1"/>
      </w:pPr>
      <w:r>
        <w:t>5 Casos pela interface e TestLink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6552"/>
        <w:gridCol w:w="1728"/>
      </w:tblGrid>
      <w:tr>
        <w:trPr>
          <w:cantSplit/>
          <w:tblHeader/>
        </w:trPr>
        <w:tc>
          <w:tcPr>
            <w:tcW w:type="dxa" w:w="1800"/>
            <w:vAlign w:val="center"/>
            <w:shd w:fill="20364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Caso</w:t>
            </w:r>
          </w:p>
        </w:tc>
        <w:tc>
          <w:tcPr>
            <w:tcW w:type="dxa" w:w="6552"/>
            <w:vAlign w:val="center"/>
            <w:shd w:fill="20364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Verificação principal</w:t>
            </w:r>
          </w:p>
        </w:tc>
        <w:tc>
          <w:tcPr>
            <w:tcW w:type="dxa" w:w="1728"/>
            <w:vAlign w:val="center"/>
            <w:shd w:fill="20364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47" w:lineRule="auto"/>
            </w:pPr>
            <w:r>
              <w:rPr>
                <w:sz w:val="20"/>
              </w:rPr>
              <w:t>dd-5  CT-PCV-01</w:t>
            </w:r>
          </w:p>
        </w:tc>
        <w:tc>
          <w:tcPr>
            <w:tcW w:type="dxa" w:w="6552"/>
            <w:vAlign w:val="center"/>
            <w:shd w:fill="F3F6F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47" w:lineRule="auto"/>
            </w:pPr>
            <w:r>
              <w:rPr>
                <w:sz w:val="20"/>
              </w:rPr>
              <w:t>1200 em 12 meses, juros zero: parcela 100, custo 1200 e saldo final zero</w:t>
            </w:r>
          </w:p>
        </w:tc>
        <w:tc>
          <w:tcPr>
            <w:tcW w:type="dxa" w:w="1728"/>
            <w:vAlign w:val="center"/>
            <w:shd w:fill="F3F6F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47" w:lineRule="auto"/>
            </w:pPr>
            <w:r>
              <w:rPr>
                <w:sz w:val="20"/>
              </w:rPr>
              <w:t>5 passos aprovados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47" w:lineRule="auto"/>
            </w:pPr>
            <w:r>
              <w:rPr>
                <w:sz w:val="20"/>
              </w:rPr>
              <w:t>dd-6  CT-PCV-02</w:t>
            </w:r>
          </w:p>
        </w:tc>
        <w:tc>
          <w:tcPr>
            <w:tcW w:type="dxa" w:w="655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47" w:lineRule="auto"/>
            </w:pPr>
            <w:r>
              <w:rPr>
                <w:sz w:val="20"/>
              </w:rPr>
              <w:t>Parcela 110, capital 100, seguro total 120 e tarifa 50: custo 1370</w:t>
            </w:r>
          </w:p>
        </w:tc>
        <w:tc>
          <w:tcPr>
            <w:tcW w:type="dxa" w:w="172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47" w:lineRule="auto"/>
            </w:pPr>
            <w:r>
              <w:rPr>
                <w:sz w:val="20"/>
              </w:rPr>
              <w:t>5 passos aprovados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47" w:lineRule="auto"/>
            </w:pPr>
            <w:r>
              <w:rPr>
                <w:sz w:val="20"/>
              </w:rPr>
              <w:t>dd-7  CT-PCV-03</w:t>
            </w:r>
          </w:p>
        </w:tc>
        <w:tc>
          <w:tcPr>
            <w:tcW w:type="dxa" w:w="6552"/>
            <w:vAlign w:val="center"/>
            <w:shd w:fill="F3F6F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47" w:lineRule="auto"/>
            </w:pPr>
            <w:r>
              <w:rPr>
                <w:sz w:val="20"/>
              </w:rPr>
              <w:t>Editar principal para 2400: parcela 200, persistência após recarga e sem duplicatas</w:t>
            </w:r>
          </w:p>
        </w:tc>
        <w:tc>
          <w:tcPr>
            <w:tcW w:type="dxa" w:w="1728"/>
            <w:vAlign w:val="center"/>
            <w:shd w:fill="F3F6F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47" w:lineRule="auto"/>
            </w:pPr>
            <w:r>
              <w:rPr>
                <w:sz w:val="20"/>
              </w:rPr>
              <w:t>5 passos aprovados</w:t>
            </w:r>
          </w:p>
        </w:tc>
      </w:tr>
    </w:tbl>
    <w:p>
      <w:pPr>
        <w:spacing w:after="0"/>
      </w:pPr>
    </w:p>
    <w:p>
      <w:r>
        <w:t>Contratos futuros: zero parcelas pagas e saldo atual igual ao principal. Há 30 capturas originais distribuídas por teste, com ao menos uma por passo. A execução foi assistida pela interface real; não representa execução humana independente.</w:t>
      </w:r>
    </w:p>
    <w:p>
      <w:r>
        <w:t>TestLink: projeto Grupo DinDin; suíte Paulo - Amortização de empréstimos; plano Plano de Testes Manuais (46); build Paulo - Entrega1 - 58c71b9-lf (5). Execuções 8, 9 e 10 registradas como Passed, usando admin compartilhado e identificação do operador nas notas. Especificações em Draft para revisão. Parte dos anexos foi rejeitada pelo servidor; todas as imagens estão preservadas localmente.</w:t>
      </w:r>
    </w:p>
    <w:p>
      <w:r>
        <w:br w:type="page"/>
      </w:r>
    </w:p>
    <w:p>
      <w:pPr>
        <w:pStyle w:val="Heading1"/>
      </w:pPr>
      <w:r>
        <w:t>6 Problemas encontrados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96"/>
        <w:gridCol w:w="5400"/>
        <w:gridCol w:w="1584"/>
      </w:tblGrid>
      <w:tr>
        <w:trPr>
          <w:cantSplit/>
          <w:tblHeader/>
        </w:trPr>
        <w:tc>
          <w:tcPr>
            <w:tcW w:type="dxa" w:w="3096"/>
            <w:vAlign w:val="center"/>
            <w:shd w:fill="20364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Registro local</w:t>
            </w:r>
          </w:p>
        </w:tc>
        <w:tc>
          <w:tcPr>
            <w:tcW w:type="dxa" w:w="5400"/>
            <w:vAlign w:val="center"/>
            <w:shd w:fill="20364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Esperado</w:t>
            </w:r>
          </w:p>
        </w:tc>
        <w:tc>
          <w:tcPr>
            <w:tcW w:type="dxa" w:w="1584"/>
            <w:vAlign w:val="center"/>
            <w:shd w:fill="20364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47" w:lineRule="auto"/>
            </w:pPr>
            <w:r>
              <w:rPr>
                <w:b/>
                <w:color w:val="FFFFFF"/>
                <w:sz w:val="20"/>
              </w:rPr>
              <w:t>Observado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3F6F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47" w:lineRule="auto"/>
            </w:pPr>
            <w:r>
              <w:rPr>
                <w:sz w:val="20"/>
              </w:rPr>
              <w:t>BUG-PCV-01</w:t>
              <w:br/>
              <w:t>Arredondamento</w:t>
              <w:br/>
              <w:t>Severidade proposta média</w:t>
            </w:r>
          </w:p>
        </w:tc>
        <w:tc>
          <w:tcPr>
            <w:tcW w:type="dxa" w:w="5400"/>
            <w:vAlign w:val="center"/>
            <w:shd w:fill="F3F6F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47" w:lineRule="auto"/>
            </w:pPr>
            <w:r>
              <w:rPr>
                <w:sz w:val="20"/>
              </w:rPr>
              <w:t>Principal 1000 em três parcelas automáticas: capitais somam 1000,00</w:t>
            </w:r>
          </w:p>
        </w:tc>
        <w:tc>
          <w:tcPr>
            <w:tcW w:type="dxa" w:w="1584"/>
            <w:vAlign w:val="center"/>
            <w:shd w:fill="F3F6F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47" w:lineRule="auto"/>
            </w:pPr>
            <w:r>
              <w:rPr>
                <w:sz w:val="20"/>
              </w:rPr>
              <w:t>Soma 999,99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47" w:lineRule="auto"/>
            </w:pPr>
            <w:r>
              <w:rPr>
                <w:sz w:val="20"/>
              </w:rPr>
              <w:t>BUG-PCV-02</w:t>
              <w:br/>
              <w:t>Seguro na parcela automática</w:t>
              <w:br/>
              <w:t>Severidade proposta alta</w:t>
            </w:r>
          </w:p>
        </w:tc>
        <w:tc>
          <w:tcPr>
            <w:tcW w:type="dxa" w:w="540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47" w:lineRule="auto"/>
            </w:pPr>
            <w:r>
              <w:rPr>
                <w:sz w:val="20"/>
              </w:rPr>
              <w:t>Principal 1200 em 12 meses, seguro mensal 10: parcela total 110,00</w:t>
            </w:r>
          </w:p>
        </w:tc>
        <w:tc>
          <w:tcPr>
            <w:tcW w:type="dxa" w:w="158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40" w:line="247" w:lineRule="auto"/>
            </w:pPr>
            <w:r>
              <w:rPr>
                <w:sz w:val="20"/>
              </w:rPr>
              <w:t>Parcela 100,00</w:t>
            </w:r>
          </w:p>
        </w:tc>
      </w:tr>
    </w:tbl>
    <w:p>
      <w:pPr>
        <w:spacing w:after="0"/>
      </w:pPr>
    </w:p>
    <w:p>
      <w:r>
        <w:t>Os dois defeitos foram reproduzidos em testes unitários sobre o código original, com saída Maven e relatório Surefire. Os casos manuais aprovados usam divisões exatas e, no cenário com seguro, parcela explícita; portanto não exercitam essas falhas. Não há execução pela interface dos cenários específicos dos defeitos.</w:t>
      </w:r>
    </w:p>
    <w:p>
      <w:r>
        <w:t>Relatos publicados e abertos: BUG-PCV-01 corresponde à issue #4; BUG-PCV-02, à issue #5, ambas atribuídas a PaulcVaz. A produção não foi corrigida nesta contribuição.</w:t>
        <w:br/>
        <w:t>https://github.com/mssvivian/picsou-finance-QS_2026.2/issues/4</w:t>
        <w:br/>
        <w:t>https://github.com/mssvivian/picsou-finance-QS_2026.2/issues/5</w:t>
      </w:r>
    </w:p>
    <w:p>
      <w:pPr>
        <w:pStyle w:val="Heading1"/>
      </w:pPr>
      <w:r>
        <w:t>7 Localização dos artefatos</w:t>
      </w:r>
    </w:p>
    <w:p>
      <w:r>
        <w:t>Caminhos relativos à raiz do repositório. O README principal aponta para os artefatos; entrega1/paulo/README.md reúne o índice individual.</w:t>
      </w:r>
    </w:p>
    <w:p>
      <w:pPr>
        <w:spacing w:after="100"/>
      </w:pPr>
      <w:r>
        <w:rPr>
          <w:rFonts w:ascii="Consolas" w:hAnsi="Consolas"/>
          <w:sz w:val="18"/>
        </w:rPr>
        <w:t>backend/src/test/java/com/picsou/service/</w:t>
        <w:br/>
        <w:t xml:space="preserve">  LoanAmortizationServiceTest.java</w:t>
        <w:br/>
        <w:t xml:space="preserve">  LoanAmortizationServiceDefectTest.java</w:t>
      </w:r>
    </w:p>
    <w:p>
      <w:pPr>
        <w:spacing w:after="100"/>
      </w:pPr>
      <w:r>
        <w:rPr>
          <w:rFonts w:ascii="Consolas" w:hAnsi="Consolas"/>
          <w:sz w:val="18"/>
        </w:rPr>
        <w:t>entrega1/paulo/</w:t>
        <w:br/>
        <w:t xml:space="preserve">  complexidade.md · matriz-de-testes.md · plano-de-teste.md</w:t>
        <w:br/>
        <w:t xml:space="preserve">  casos-manuais.md · resultados.md · ambiente-local.md</w:t>
        <w:br/>
        <w:t xml:space="preserve">  Tests_ScreenShots/README.md · Tests_ScreenShots/execucao.json</w:t>
        <w:br/>
        <w:t xml:space="preserve">  issues/README.md · issues/BUG-PCV-01.md · issues/BUG-PCV-02.md</w:t>
        <w:br/>
        <w:t xml:space="preserve">  evidencias/unitarios/ · evidencias/testlink/ · testlink/README.md</w:t>
      </w:r>
    </w:p>
    <w:p>
      <w:pPr>
        <w:pStyle w:val="Heading1"/>
      </w:pPr>
      <w:r>
        <w:t>8 Integração e preparação da apresentação</w:t>
      </w:r>
    </w:p>
    <w:p>
      <w:r>
        <w:t>Branch publicada, autoria preservada e issues #4/#5 registradas. PR #6 aberto para revisão do grupo, sem merge automático. Após aceite, integrar na main e conferir os links. Consolidar o Plano IEEE 829 no Google Docs e verificar a submissão no Moodle até 11/10/2026 às 23h59, Brasília.</w:t>
      </w:r>
    </w:p>
    <w:p>
      <w:r>
        <w:t>Para os slides: explicar o algoritmo e a complexidade 14; apresentar os cenários próprios e os resultados; demonstrar a composição 1370 do contrato com seguro e tarifa; explicar os dois defeitos e as limitações. Integração, E2E, cobertura de arestas e mutação pertencem à segunda entrega e não foram avaliados aqui.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Paulo Cesar Vaz  •  11 outubro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COS482   /   QUALIDADE DE SOFTWARE   /   ENTREGA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testes de amortização de empréstimos</dc:title>
  <dc:subject>COS482 Entrega 1</dc:subject>
  <dc:creator>Paulo Cesar Vaz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