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iagnóstico-argentina-2026"/>
      <w:r>
        <w:t xml:space="preserve">Diagnóstico: Argentina 2026</w:t>
      </w:r>
      <w:bookmarkEnd w:id="20"/>
    </w:p>
    <w:p>
      <w:pPr>
        <w:pStyle w:val="Heading2"/>
      </w:pPr>
      <w:bookmarkStart w:id="21" w:name="X64fd65dd8252942865fd998601209ed36156265"/>
      <w:r>
        <w:t xml:space="preserve">Argentina Próspera 2027-2031 — Documento Fundacional 02</w:t>
      </w:r>
      <w:bookmarkEnd w:id="21"/>
    </w:p>
    <w:p>
      <w:r>
        <w:pict>
          <v:rect style="width:0;height:1.5pt" o:hralign="center" o:hrstd="t" o:hr="t"/>
        </w:pict>
      </w:r>
    </w:p>
    <w:p>
      <w:pPr>
        <w:pStyle w:val="Heading2"/>
      </w:pPr>
      <w:bookmarkStart w:id="22" w:name="radiografía-de-un-país-que-puede-más"/>
      <w:r>
        <w:t xml:space="preserve">Radiografía de un país que puede más</w:t>
      </w:r>
      <w:bookmarkEnd w:id="22"/>
    </w:p>
    <w:p>
      <w:pPr>
        <w:pStyle w:val="FirstParagraph"/>
      </w:pPr>
      <w:r>
        <w:t xml:space="preserve">Este documento presenta la Argentina de 2026 tal como es: con datos duros, sin adornos, sin excusas. No para deprimirnos sino para saber exactamente de dónde partimos. Porque un plan serio se construye sobre la realidad, no sobre fantasías.</w:t>
      </w:r>
    </w:p>
    <w:p>
      <w:pPr>
        <w:pStyle w:val="BodyText"/>
      </w:pPr>
      <w:r>
        <w:t xml:space="preserve">Los datos vienen de INDEC, CEPAL, BID, OMS, AFIP, FMI, Banco Mundial, RENABAP y fuentes oficiales. Donde hay discrepancias entre fuentes, se indica.</w:t>
      </w:r>
    </w:p>
    <w:p>
      <w:r>
        <w:pict>
          <v:rect style="width:0;height:1.5pt" o:hralign="center" o:hrstd="t" o:hr="t"/>
        </w:pict>
      </w:r>
    </w:p>
    <w:p>
      <w:pPr>
        <w:pStyle w:val="Heading2"/>
      </w:pPr>
      <w:bookmarkStart w:id="23" w:name="pobreza-y-desigualdad"/>
      <w:r>
        <w:t xml:space="preserve">1. Pobreza y Desigualdad</w:t>
      </w:r>
      <w:bookmarkEnd w:id="23"/>
    </w:p>
    <w:p>
      <w:pPr>
        <w:pStyle w:val="Heading3"/>
      </w:pPr>
      <w:bookmarkStart w:id="24" w:name="los-números"/>
      <w:r>
        <w:t xml:space="preserve">Los números</w:t>
      </w:r>
      <w:bookmarkEnd w:id="24"/>
    </w:p>
    <w:tbl>
      <w:tblPr>
        <w:tblStyle w:val="Table"/>
        <w:tblW w:type="pct" w:w="0.0"/>
        <w:tblLook w:firstRow="1"/>
      </w:tblPr>
      <w:tblGrid/>
      <w:tr>
        <w:trPr>
          <w:cnfStyle w:firstRow="1"/>
        </w:trPr>
        <w:tc>
          <w:tcPr>
            <w:tcBorders>
              <w:bottom w:val="single"/>
            </w:tcBorders>
            <w:vAlign w:val="bottom"/>
          </w:tcPr>
          <w:p>
            <w:pPr>
              <w:pStyle w:val="Compact"/>
              <w:jc w:val="left"/>
            </w:pPr>
            <w:r>
              <w:t xml:space="preserve">Indicador</w:t>
            </w:r>
          </w:p>
        </w:tc>
        <w:tc>
          <w:tcPr>
            <w:tcBorders>
              <w:bottom w:val="single"/>
            </w:tcBorders>
            <w:vAlign w:val="bottom"/>
          </w:tcPr>
          <w:p>
            <w:pPr>
              <w:pStyle w:val="Compact"/>
              <w:jc w:val="left"/>
            </w:pPr>
            <w:r>
              <w:t xml:space="preserve">Valor</w:t>
            </w:r>
          </w:p>
        </w:tc>
        <w:tc>
          <w:tcPr>
            <w:tcBorders>
              <w:bottom w:val="single"/>
            </w:tcBorders>
            <w:vAlign w:val="bottom"/>
          </w:tcPr>
          <w:p>
            <w:pPr>
              <w:pStyle w:val="Compact"/>
              <w:jc w:val="left"/>
            </w:pPr>
            <w:r>
              <w:t xml:space="preserve">Fuente</w:t>
            </w:r>
          </w:p>
        </w:tc>
      </w:tr>
      <w:tr>
        <w:tc>
          <w:p>
            <w:pPr>
              <w:pStyle w:val="Compact"/>
              <w:jc w:val="left"/>
            </w:pPr>
            <w:r>
              <w:t xml:space="preserve">Pobreza (personas)</w:t>
            </w:r>
          </w:p>
        </w:tc>
        <w:tc>
          <w:p>
            <w:pPr>
              <w:pStyle w:val="Compact"/>
              <w:jc w:val="left"/>
            </w:pPr>
            <w:r>
              <w:t xml:space="preserve">31,6% (~14,9 millones)</w:t>
            </w:r>
          </w:p>
        </w:tc>
        <w:tc>
          <w:p>
            <w:pPr>
              <w:pStyle w:val="Compact"/>
              <w:jc w:val="left"/>
            </w:pPr>
            <w:r>
              <w:t xml:space="preserve">INDEC EPH H1 2025</w:t>
            </w:r>
          </w:p>
        </w:tc>
      </w:tr>
      <w:tr>
        <w:tc>
          <w:p>
            <w:pPr>
              <w:pStyle w:val="Compact"/>
              <w:jc w:val="left"/>
            </w:pPr>
            <w:r>
              <w:t xml:space="preserve">Indigencia (personas)</w:t>
            </w:r>
          </w:p>
        </w:tc>
        <w:tc>
          <w:p>
            <w:pPr>
              <w:pStyle w:val="Compact"/>
              <w:jc w:val="left"/>
            </w:pPr>
            <w:r>
              <w:t xml:space="preserve">6,9% (~3,2 millones)</w:t>
            </w:r>
          </w:p>
        </w:tc>
        <w:tc>
          <w:p>
            <w:pPr>
              <w:pStyle w:val="Compact"/>
              <w:jc w:val="left"/>
            </w:pPr>
            <w:r>
              <w:t xml:space="preserve">INDEC EPH H1 2025</w:t>
            </w:r>
          </w:p>
        </w:tc>
      </w:tr>
      <w:tr>
        <w:tc>
          <w:p>
            <w:pPr>
              <w:pStyle w:val="Compact"/>
              <w:jc w:val="left"/>
            </w:pPr>
            <w:r>
              <w:t xml:space="preserve">Pobreza infantil (0-14 años)</w:t>
            </w:r>
          </w:p>
        </w:tc>
        <w:tc>
          <w:p>
            <w:pPr>
              <w:pStyle w:val="Compact"/>
              <w:jc w:val="left"/>
            </w:pPr>
            <w:r>
              <w:t xml:space="preserve">52,7%</w:t>
            </w:r>
          </w:p>
        </w:tc>
        <w:tc>
          <w:p>
            <w:pPr>
              <w:pStyle w:val="Compact"/>
              <w:jc w:val="left"/>
            </w:pPr>
            <w:r>
              <w:t xml:space="preserve">INDEC 2024</w:t>
            </w:r>
          </w:p>
        </w:tc>
      </w:tr>
      <w:tr>
        <w:tc>
          <w:p>
            <w:pPr>
              <w:pStyle w:val="Compact"/>
              <w:jc w:val="left"/>
            </w:pPr>
            <w:r>
              <w:t xml:space="preserve">Coeficiente de Gini</w:t>
            </w:r>
          </w:p>
        </w:tc>
        <w:tc>
          <w:p>
            <w:pPr>
              <w:pStyle w:val="Compact"/>
              <w:jc w:val="left"/>
            </w:pPr>
            <w:r>
              <w:t xml:space="preserve">0,42</w:t>
            </w:r>
          </w:p>
        </w:tc>
        <w:tc>
          <w:p>
            <w:pPr>
              <w:pStyle w:val="Compact"/>
              <w:jc w:val="left"/>
            </w:pPr>
            <w:r>
              <w:t xml:space="preserve">INDEC</w:t>
            </w:r>
          </w:p>
        </w:tc>
      </w:tr>
      <w:tr>
        <w:tc>
          <w:p>
            <w:pPr>
              <w:pStyle w:val="Compact"/>
              <w:jc w:val="left"/>
            </w:pPr>
            <w:r>
              <w:t xml:space="preserve">Ratio ingreso decil 10/decil 1</w:t>
            </w:r>
          </w:p>
        </w:tc>
        <w:tc>
          <w:p>
            <w:pPr>
              <w:pStyle w:val="Compact"/>
              <w:jc w:val="left"/>
            </w:pPr>
            <w:r>
              <w:t xml:space="preserve">13:1</w:t>
            </w:r>
          </w:p>
        </w:tc>
        <w:tc>
          <w:p>
            <w:pPr>
              <w:pStyle w:val="Compact"/>
              <w:jc w:val="left"/>
            </w:pPr>
            <w:r>
              <w:t xml:space="preserve">INDEC</w:t>
            </w:r>
          </w:p>
        </w:tc>
      </w:tr>
      <w:tr>
        <w:tc>
          <w:p>
            <w:pPr>
              <w:pStyle w:val="Compact"/>
              <w:jc w:val="left"/>
            </w:pPr>
            <w:r>
              <w:t xml:space="preserve">Canasta básica total (familia tipo)</w:t>
            </w:r>
          </w:p>
        </w:tc>
        <w:tc>
          <w:p>
            <w:pPr>
              <w:pStyle w:val="Compact"/>
              <w:jc w:val="left"/>
            </w:pPr>
            <w:r>
              <w:t xml:space="preserve">~$600.000/mes</w:t>
            </w:r>
          </w:p>
        </w:tc>
        <w:tc>
          <w:p>
            <w:pPr>
              <w:pStyle w:val="Compact"/>
              <w:jc w:val="left"/>
            </w:pPr>
            <w:r>
              <w:t xml:space="preserve">INDEC</w:t>
            </w:r>
          </w:p>
        </w:tc>
      </w:tr>
      <w:tr>
        <w:tc>
          <w:p>
            <w:pPr>
              <w:pStyle w:val="Compact"/>
              <w:jc w:val="left"/>
            </w:pPr>
            <w:r>
              <w:t xml:space="preserve">Salario mínimo</w:t>
            </w:r>
          </w:p>
        </w:tc>
        <w:tc>
          <w:p>
            <w:pPr>
              <w:pStyle w:val="Compact"/>
              <w:jc w:val="left"/>
            </w:pPr>
            <w:r>
              <w:t xml:space="preserve">$346.800</w:t>
            </w:r>
          </w:p>
        </w:tc>
        <w:tc>
          <w:p>
            <w:pPr>
              <w:pStyle w:val="Compact"/>
              <w:jc w:val="left"/>
            </w:pPr>
            <w:r>
              <w:t xml:space="preserve">MTEySS</w:t>
            </w:r>
          </w:p>
        </w:tc>
      </w:tr>
      <w:tr>
        <w:tc>
          <w:p>
            <w:pPr>
              <w:pStyle w:val="Compact"/>
              <w:jc w:val="left"/>
            </w:pPr>
            <w:r>
              <w:t xml:space="preserve">Cobertura del salario mínimo sobre canasta</w:t>
            </w:r>
          </w:p>
        </w:tc>
        <w:tc>
          <w:p>
            <w:pPr>
              <w:pStyle w:val="Compact"/>
              <w:jc w:val="left"/>
            </w:pPr>
            <w:r>
              <w:t xml:space="preserve">27%</w:t>
            </w:r>
          </w:p>
        </w:tc>
        <w:tc>
          <w:p>
            <w:pPr>
              <w:pStyle w:val="Compact"/>
              <w:jc w:val="left"/>
            </w:pPr>
            <w:r>
              <w:t xml:space="preserve">Cálculo propio</w:t>
            </w:r>
          </w:p>
        </w:tc>
      </w:tr>
    </w:tbl>
    <w:p>
      <w:pPr>
        <w:pStyle w:val="Heading3"/>
      </w:pPr>
      <w:bookmarkStart w:id="25" w:name="lo-que-significan"/>
      <w:r>
        <w:t xml:space="preserve">Lo que significan</w:t>
      </w:r>
      <w:bookmarkEnd w:id="25"/>
    </w:p>
    <w:p>
      <w:pPr>
        <w:pStyle w:val="FirstParagraph"/>
      </w:pPr>
      <w:r>
        <w:t xml:space="preserve">Casi un tercio de Argentina es pobre. Entre los niños, es más de la mitad. El salario mínimo no alcanza para cubrir ni un tercio de lo que necesita una familia para no ser pobre. La brecha entre los que más ganan y los que menos ganan es de 13 a 1.</w:t>
      </w:r>
    </w:p>
    <w:p>
      <w:pPr>
        <w:pStyle w:val="BodyText"/>
      </w:pPr>
      <w:r>
        <w:t xml:space="preserve">La pobreza mejoró respecto a 2024 (era 52,9%) pero sigue siendo devastadora. Y la mejora fue fundamentalmente por la caída de la inflación, no por mejora estructural. La pobreza de ingresos es solo la superficie: debajo hay pobreza de acceso (salud, educación, vivienda, conectividad) que los indicadores monetarios no capturan.</w:t>
      </w:r>
    </w:p>
    <w:p>
      <w:r>
        <w:pict>
          <v:rect style="width:0;height:1.5pt" o:hralign="center" o:hrstd="t" o:hr="t"/>
        </w:pict>
      </w:r>
    </w:p>
    <w:p>
      <w:pPr>
        <w:pStyle w:val="Heading2"/>
      </w:pPr>
      <w:bookmarkStart w:id="26" w:name="vivienda-y-hábitat"/>
      <w:r>
        <w:t xml:space="preserve">2. Vivienda y Hábitat</w:t>
      </w:r>
      <w:bookmarkEnd w:id="26"/>
    </w:p>
    <w:p>
      <w:pPr>
        <w:pStyle w:val="Heading3"/>
      </w:pPr>
      <w:bookmarkStart w:id="27" w:name="los-números-1"/>
      <w:r>
        <w:t xml:space="preserve">Los números</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Indicador</w:t>
            </w:r>
          </w:p>
        </w:tc>
        <w:tc>
          <w:tcPr>
            <w:tcBorders>
              <w:bottom w:val="single"/>
            </w:tcBorders>
            <w:vAlign w:val="bottom"/>
          </w:tcPr>
          <w:p>
            <w:pPr>
              <w:pStyle w:val="Compact"/>
              <w:jc w:val="left"/>
            </w:pPr>
            <w:r>
              <w:t xml:space="preserve">Valor</w:t>
            </w:r>
          </w:p>
        </w:tc>
        <w:tc>
          <w:tcPr>
            <w:tcBorders>
              <w:bottom w:val="single"/>
            </w:tcBorders>
            <w:vAlign w:val="bottom"/>
          </w:tcPr>
          <w:p>
            <w:pPr>
              <w:pStyle w:val="Compact"/>
              <w:jc w:val="left"/>
            </w:pPr>
            <w:r>
              <w:t xml:space="preserve">Fuente</w:t>
            </w:r>
          </w:p>
        </w:tc>
      </w:tr>
      <w:tr>
        <w:tc>
          <w:p>
            <w:pPr>
              <w:pStyle w:val="Compact"/>
              <w:jc w:val="left"/>
            </w:pPr>
            <w:r>
              <w:t xml:space="preserve">Déficit habitacional total</w:t>
            </w:r>
          </w:p>
        </w:tc>
        <w:tc>
          <w:p>
            <w:pPr>
              <w:pStyle w:val="Compact"/>
              <w:jc w:val="left"/>
            </w:pPr>
            <w:r>
              <w:t xml:space="preserve">3,24 millones de viviendas</w:t>
            </w:r>
          </w:p>
        </w:tc>
        <w:tc>
          <w:p>
            <w:pPr>
              <w:pStyle w:val="Compact"/>
              <w:jc w:val="left"/>
            </w:pPr>
            <w:r>
              <w:t xml:space="preserve">INDEC Censo 2022</w:t>
            </w:r>
          </w:p>
        </w:tc>
      </w:tr>
      <w:tr>
        <w:tc>
          <w:p>
            <w:pPr>
              <w:pStyle w:val="Compact"/>
              <w:jc w:val="left"/>
            </w:pPr>
            <w:r>
              <w:t xml:space="preserve">Déficit cuantitativo (sin vivienda)</w:t>
            </w:r>
          </w:p>
        </w:tc>
        <w:tc>
          <w:p>
            <w:pPr>
              <w:pStyle w:val="Compact"/>
              <w:jc w:val="left"/>
            </w:pPr>
            <w:r>
              <w:t xml:space="preserve">1,15 millones</w:t>
            </w:r>
          </w:p>
        </w:tc>
        <w:tc>
          <w:p>
            <w:pPr>
              <w:pStyle w:val="Compact"/>
              <w:jc w:val="left"/>
            </w:pPr>
            <w:r>
              <w:t xml:space="preserve">INDEC</w:t>
            </w:r>
          </w:p>
        </w:tc>
      </w:tr>
      <w:tr>
        <w:tc>
          <w:p>
            <w:pPr>
              <w:pStyle w:val="Compact"/>
              <w:jc w:val="left"/>
            </w:pPr>
            <w:r>
              <w:t xml:space="preserve">Déficit cualitativo (vivienda precaria)</w:t>
            </w:r>
          </w:p>
        </w:tc>
        <w:tc>
          <w:p>
            <w:pPr>
              <w:pStyle w:val="Compact"/>
              <w:jc w:val="left"/>
            </w:pPr>
            <w:r>
              <w:t xml:space="preserve">2,09 millones</w:t>
            </w:r>
          </w:p>
        </w:tc>
        <w:tc>
          <w:p>
            <w:pPr>
              <w:pStyle w:val="Compact"/>
              <w:jc w:val="left"/>
            </w:pPr>
            <w:r>
              <w:t xml:space="preserve">INDEC</w:t>
            </w:r>
          </w:p>
        </w:tc>
      </w:tr>
      <w:tr>
        <w:tc>
          <w:p>
            <w:pPr>
              <w:pStyle w:val="Compact"/>
              <w:jc w:val="left"/>
            </w:pPr>
            <w:r>
              <w:t xml:space="preserve">Barrios populares registrados</w:t>
            </w:r>
          </w:p>
        </w:tc>
        <w:tc>
          <w:p>
            <w:pPr>
              <w:pStyle w:val="Compact"/>
              <w:jc w:val="left"/>
            </w:pPr>
            <w:r>
              <w:t xml:space="preserve">6.467</w:t>
            </w:r>
          </w:p>
        </w:tc>
        <w:tc>
          <w:p>
            <w:pPr>
              <w:pStyle w:val="Compact"/>
              <w:jc w:val="left"/>
            </w:pPr>
            <w:r>
              <w:t xml:space="preserve">RENABAP</w:t>
            </w:r>
          </w:p>
        </w:tc>
      </w:tr>
      <w:tr>
        <w:tc>
          <w:p>
            <w:pPr>
              <w:pStyle w:val="Compact"/>
              <w:jc w:val="left"/>
            </w:pPr>
            <w:r>
              <w:t xml:space="preserve">Personas en barrios populares</w:t>
            </w:r>
          </w:p>
        </w:tc>
        <w:tc>
          <w:p>
            <w:pPr>
              <w:pStyle w:val="Compact"/>
              <w:jc w:val="left"/>
            </w:pPr>
            <w:r>
              <w:t xml:space="preserve">&gt;5 millones (~1,2M familias)</w:t>
            </w:r>
          </w:p>
        </w:tc>
        <w:tc>
          <w:p>
            <w:pPr>
              <w:pStyle w:val="Compact"/>
              <w:jc w:val="left"/>
            </w:pPr>
            <w:r>
              <w:t xml:space="preserve">RENABAP</w:t>
            </w:r>
          </w:p>
        </w:tc>
      </w:tr>
      <w:tr>
        <w:tc>
          <w:p>
            <w:pPr>
              <w:pStyle w:val="Compact"/>
              <w:jc w:val="left"/>
            </w:pPr>
            <w:r>
              <w:t xml:space="preserve">Superficie barrios populares</w:t>
            </w:r>
          </w:p>
        </w:tc>
        <w:tc>
          <w:p>
            <w:pPr>
              <w:pStyle w:val="Compact"/>
              <w:jc w:val="left"/>
            </w:pPr>
            <w:r>
              <w:t xml:space="preserve">684 km² (3x CABA)</w:t>
            </w:r>
          </w:p>
        </w:tc>
        <w:tc>
          <w:p>
            <w:pPr>
              <w:pStyle w:val="Compact"/>
              <w:jc w:val="left"/>
            </w:pPr>
            <w:r>
              <w:t xml:space="preserve">RENABAP</w:t>
            </w:r>
          </w:p>
        </w:tc>
      </w:tr>
      <w:tr>
        <w:tc>
          <w:p>
            <w:pPr>
              <w:pStyle w:val="Compact"/>
              <w:jc w:val="left"/>
            </w:pPr>
            <w:r>
              <w:t xml:space="preserve">Acceso a agua potable por red</w:t>
            </w:r>
          </w:p>
        </w:tc>
        <w:tc>
          <w:p>
            <w:pPr>
              <w:pStyle w:val="Compact"/>
              <w:jc w:val="left"/>
            </w:pPr>
            <w:r>
              <w:t xml:space="preserve">11,6% de barrios populares</w:t>
            </w:r>
          </w:p>
        </w:tc>
        <w:tc>
          <w:p>
            <w:pPr>
              <w:pStyle w:val="Compact"/>
              <w:jc w:val="left"/>
            </w:pPr>
            <w:r>
              <w:t xml:space="preserve">RENABAP</w:t>
            </w:r>
          </w:p>
        </w:tc>
      </w:tr>
      <w:tr>
        <w:tc>
          <w:p>
            <w:pPr>
              <w:pStyle w:val="Compact"/>
              <w:jc w:val="left"/>
            </w:pPr>
            <w:r>
              <w:t xml:space="preserve">Acceso a cloacas</w:t>
            </w:r>
          </w:p>
        </w:tc>
        <w:tc>
          <w:p>
            <w:pPr>
              <w:pStyle w:val="Compact"/>
              <w:jc w:val="left"/>
            </w:pPr>
            <w:r>
              <w:t xml:space="preserve">2,5% de barrios populares</w:t>
            </w:r>
          </w:p>
        </w:tc>
        <w:tc>
          <w:p>
            <w:pPr>
              <w:pStyle w:val="Compact"/>
              <w:jc w:val="left"/>
            </w:pPr>
            <w:r>
              <w:t xml:space="preserve">RENABAP</w:t>
            </w:r>
          </w:p>
        </w:tc>
      </w:tr>
      <w:tr>
        <w:tc>
          <w:p>
            <w:pPr>
              <w:pStyle w:val="Compact"/>
              <w:jc w:val="left"/>
            </w:pPr>
            <w:r>
              <w:t xml:space="preserve">Reducción del gasto público en vivienda (2024)</w:t>
            </w:r>
          </w:p>
        </w:tc>
        <w:tc>
          <w:p>
            <w:pPr>
              <w:pStyle w:val="Compact"/>
              <w:jc w:val="left"/>
            </w:pPr>
            <w:r>
              <w:t xml:space="preserve">-84%</w:t>
            </w:r>
          </w:p>
        </w:tc>
        <w:tc>
          <w:p>
            <w:pPr>
              <w:pStyle w:val="Compact"/>
              <w:jc w:val="left"/>
            </w:pPr>
            <w:r>
              <w:t xml:space="preserve">Presupuesto Nacional</w:t>
            </w:r>
          </w:p>
        </w:tc>
      </w:tr>
      <w:tr>
        <w:tc>
          <w:p>
            <w:pPr>
              <w:pStyle w:val="Compact"/>
              <w:jc w:val="left"/>
            </w:pPr>
            <w:r>
              <w:t xml:space="preserve">Concentración geográfica</w:t>
            </w:r>
          </w:p>
        </w:tc>
        <w:tc>
          <w:p>
            <w:pPr>
              <w:pStyle w:val="Compact"/>
              <w:jc w:val="left"/>
            </w:pPr>
            <w:r>
              <w:t xml:space="preserve">PBA: 2.065 barrios, La Matanza: 163</w:t>
            </w:r>
          </w:p>
        </w:tc>
        <w:tc>
          <w:p>
            <w:pPr>
              <w:pStyle w:val="Compact"/>
              <w:jc w:val="left"/>
            </w:pPr>
            <w:r>
              <w:t xml:space="preserve">RENABAP</w:t>
            </w:r>
          </w:p>
        </w:tc>
      </w:tr>
    </w:tbl>
    <w:p>
      <w:pPr>
        <w:pStyle w:val="Heading3"/>
      </w:pPr>
      <w:bookmarkStart w:id="28" w:name="lo-que-significan-1"/>
      <w:r>
        <w:t xml:space="preserve">Lo que significan</w:t>
      </w:r>
      <w:bookmarkEnd w:id="28"/>
    </w:p>
    <w:p>
      <w:pPr>
        <w:pStyle w:val="FirstParagraph"/>
      </w:pPr>
      <w:r>
        <w:t xml:space="preserve">Más de 5 millones de argentinos viven en asentamientos donde la casi totalidad no tiene agua potable ni cloacas formales. El Estado prácticamente dejó de construir vivienda social. El déficit es de 3,24 millones de viviendas — para resolverlo al ritmo actual harían falta más de 100 años.</w:t>
      </w:r>
    </w:p>
    <w:p>
      <w:r>
        <w:pict>
          <v:rect style="width:0;height:1.5pt" o:hralign="center" o:hrstd="t" o:hr="t"/>
        </w:pict>
      </w:r>
    </w:p>
    <w:p>
      <w:pPr>
        <w:pStyle w:val="Heading2"/>
      </w:pPr>
      <w:bookmarkStart w:id="29" w:name="salud"/>
      <w:r>
        <w:t xml:space="preserve">3. Salud</w:t>
      </w:r>
      <w:bookmarkEnd w:id="29"/>
    </w:p>
    <w:p>
      <w:pPr>
        <w:pStyle w:val="Heading3"/>
      </w:pPr>
      <w:bookmarkStart w:id="30" w:name="los-números-2"/>
      <w:r>
        <w:t xml:space="preserve">Los números</w:t>
      </w:r>
      <w:bookmarkEnd w:id="30"/>
    </w:p>
    <w:tbl>
      <w:tblPr>
        <w:tblStyle w:val="Table"/>
        <w:tblW w:type="pct" w:w="0.0"/>
        <w:tblLook w:firstRow="1"/>
      </w:tblPr>
      <w:tblGrid/>
      <w:tr>
        <w:trPr>
          <w:cnfStyle w:firstRow="1"/>
        </w:trPr>
        <w:tc>
          <w:tcPr>
            <w:tcBorders>
              <w:bottom w:val="single"/>
            </w:tcBorders>
            <w:vAlign w:val="bottom"/>
          </w:tcPr>
          <w:p>
            <w:pPr>
              <w:pStyle w:val="Compact"/>
              <w:jc w:val="left"/>
            </w:pPr>
            <w:r>
              <w:t xml:space="preserve">Indicador</w:t>
            </w:r>
          </w:p>
        </w:tc>
        <w:tc>
          <w:tcPr>
            <w:tcBorders>
              <w:bottom w:val="single"/>
            </w:tcBorders>
            <w:vAlign w:val="bottom"/>
          </w:tcPr>
          <w:p>
            <w:pPr>
              <w:pStyle w:val="Compact"/>
              <w:jc w:val="left"/>
            </w:pPr>
            <w:r>
              <w:t xml:space="preserve">Valor</w:t>
            </w:r>
          </w:p>
        </w:tc>
        <w:tc>
          <w:tcPr>
            <w:tcBorders>
              <w:bottom w:val="single"/>
            </w:tcBorders>
            <w:vAlign w:val="bottom"/>
          </w:tcPr>
          <w:p>
            <w:pPr>
              <w:pStyle w:val="Compact"/>
              <w:jc w:val="left"/>
            </w:pPr>
            <w:r>
              <w:t xml:space="preserve">Fuente</w:t>
            </w:r>
          </w:p>
        </w:tc>
      </w:tr>
      <w:tr>
        <w:tc>
          <w:p>
            <w:pPr>
              <w:pStyle w:val="Compact"/>
              <w:jc w:val="left"/>
            </w:pPr>
            <w:r>
              <w:t xml:space="preserve">Gasto en salud</w:t>
            </w:r>
          </w:p>
        </w:tc>
        <w:tc>
          <w:p>
            <w:pPr>
              <w:pStyle w:val="Compact"/>
              <w:jc w:val="left"/>
            </w:pPr>
            <w:r>
              <w:t xml:space="preserve">10% del PBI</w:t>
            </w:r>
          </w:p>
        </w:tc>
        <w:tc>
          <w:p>
            <w:pPr>
              <w:pStyle w:val="Compact"/>
              <w:jc w:val="left"/>
            </w:pPr>
            <w:r>
              <w:t xml:space="preserve">OMS/Min. Salud</w:t>
            </w:r>
          </w:p>
        </w:tc>
      </w:tr>
      <w:tr>
        <w:tc>
          <w:p>
            <w:pPr>
              <w:pStyle w:val="Compact"/>
              <w:jc w:val="left"/>
            </w:pPr>
            <w:r>
              <w:t xml:space="preserve">Médicos por 1.000 hab.</w:t>
            </w:r>
          </w:p>
        </w:tc>
        <w:tc>
          <w:p>
            <w:pPr>
              <w:pStyle w:val="Compact"/>
              <w:jc w:val="left"/>
            </w:pPr>
            <w:r>
              <w:t xml:space="preserve">4,08</w:t>
            </w:r>
          </w:p>
        </w:tc>
        <w:tc>
          <w:p>
            <w:pPr>
              <w:pStyle w:val="Compact"/>
              <w:jc w:val="left"/>
            </w:pPr>
            <w:r>
              <w:t xml:space="preserve">OMS</w:t>
            </w:r>
          </w:p>
        </w:tc>
      </w:tr>
      <w:tr>
        <w:tc>
          <w:p>
            <w:pPr>
              <w:pStyle w:val="Compact"/>
              <w:jc w:val="left"/>
            </w:pPr>
            <w:r>
              <w:t xml:space="preserve">Camas por 1.000 hab.</w:t>
            </w:r>
          </w:p>
        </w:tc>
        <w:tc>
          <w:p>
            <w:pPr>
              <w:pStyle w:val="Compact"/>
              <w:jc w:val="left"/>
            </w:pPr>
            <w:r>
              <w:t xml:space="preserve">5,2</w:t>
            </w:r>
          </w:p>
        </w:tc>
        <w:tc>
          <w:p>
            <w:pPr>
              <w:pStyle w:val="Compact"/>
              <w:jc w:val="left"/>
            </w:pPr>
            <w:r>
              <w:t xml:space="preserve">OMS</w:t>
            </w:r>
          </w:p>
        </w:tc>
      </w:tr>
      <w:tr>
        <w:tc>
          <w:p>
            <w:pPr>
              <w:pStyle w:val="Compact"/>
              <w:jc w:val="left"/>
            </w:pPr>
            <w:r>
              <w:t xml:space="preserve">Población sin cobertura formal</w:t>
            </w:r>
          </w:p>
        </w:tc>
        <w:tc>
          <w:p>
            <w:pPr>
              <w:pStyle w:val="Compact"/>
              <w:jc w:val="left"/>
            </w:pPr>
            <w:r>
              <w:t xml:space="preserve">36,1% (~17 millones)</w:t>
            </w:r>
          </w:p>
        </w:tc>
        <w:tc>
          <w:p>
            <w:pPr>
              <w:pStyle w:val="Compact"/>
              <w:jc w:val="left"/>
            </w:pPr>
            <w:r>
              <w:t xml:space="preserve">INDEC</w:t>
            </w:r>
          </w:p>
        </w:tc>
      </w:tr>
      <w:tr>
        <w:tc>
          <w:p>
            <w:pPr>
              <w:pStyle w:val="Compact"/>
              <w:jc w:val="left"/>
            </w:pPr>
            <w:r>
              <w:t xml:space="preserve">Mortalidad infantil</w:t>
            </w:r>
          </w:p>
        </w:tc>
        <w:tc>
          <w:p>
            <w:pPr>
              <w:pStyle w:val="Compact"/>
              <w:jc w:val="left"/>
            </w:pPr>
            <w:r>
              <w:t xml:space="preserve">9,2‰</w:t>
            </w:r>
          </w:p>
        </w:tc>
        <w:tc>
          <w:p>
            <w:pPr>
              <w:pStyle w:val="Compact"/>
              <w:jc w:val="left"/>
            </w:pPr>
            <w:r>
              <w:t xml:space="preserve">Min. Salud</w:t>
            </w:r>
          </w:p>
        </w:tc>
      </w:tr>
      <w:tr>
        <w:tc>
          <w:p>
            <w:pPr>
              <w:pStyle w:val="Compact"/>
              <w:jc w:val="left"/>
            </w:pPr>
            <w:r>
              <w:t xml:space="preserve">Mortalidad infantil Formosa</w:t>
            </w:r>
          </w:p>
        </w:tc>
        <w:tc>
          <w:p>
            <w:pPr>
              <w:pStyle w:val="Compact"/>
              <w:jc w:val="left"/>
            </w:pPr>
            <w:r>
              <w:t xml:space="preserve">~27‰ (3x Buenos Aires)</w:t>
            </w:r>
          </w:p>
        </w:tc>
        <w:tc>
          <w:p>
            <w:pPr>
              <w:pStyle w:val="Compact"/>
              <w:jc w:val="left"/>
            </w:pPr>
            <w:r>
              <w:t xml:space="preserve">Min. Salud</w:t>
            </w:r>
          </w:p>
        </w:tc>
      </w:tr>
      <w:tr>
        <w:tc>
          <w:p>
            <w:pPr>
              <w:pStyle w:val="Compact"/>
              <w:jc w:val="left"/>
            </w:pPr>
            <w:r>
              <w:t xml:space="preserve">Dengue 2024</w:t>
            </w:r>
          </w:p>
        </w:tc>
        <w:tc>
          <w:p>
            <w:pPr>
              <w:pStyle w:val="Compact"/>
              <w:jc w:val="left"/>
            </w:pPr>
            <w:r>
              <w:t xml:space="preserve">581.559 casos, 355 muertos</w:t>
            </w:r>
          </w:p>
        </w:tc>
        <w:tc>
          <w:p>
            <w:pPr>
              <w:pStyle w:val="Compact"/>
              <w:jc w:val="left"/>
            </w:pPr>
            <w:r>
              <w:t xml:space="preserve">Min. Salud</w:t>
            </w:r>
          </w:p>
        </w:tc>
      </w:tr>
      <w:tr>
        <w:tc>
          <w:p>
            <w:pPr>
              <w:pStyle w:val="Compact"/>
              <w:jc w:val="left"/>
            </w:pPr>
            <w:r>
              <w:t xml:space="preserve">Chagas (infectados)</w:t>
            </w:r>
          </w:p>
        </w:tc>
        <w:tc>
          <w:p>
            <w:pPr>
              <w:pStyle w:val="Compact"/>
              <w:jc w:val="left"/>
            </w:pPr>
            <w:r>
              <w:t xml:space="preserve">1,6 millones</w:t>
            </w:r>
          </w:p>
        </w:tc>
        <w:tc>
          <w:p>
            <w:pPr>
              <w:pStyle w:val="Compact"/>
              <w:jc w:val="left"/>
            </w:pPr>
            <w:r>
              <w:t xml:space="preserve">OPS</w:t>
            </w:r>
          </w:p>
        </w:tc>
      </w:tr>
      <w:tr>
        <w:tc>
          <w:p>
            <w:pPr>
              <w:pStyle w:val="Compact"/>
              <w:jc w:val="left"/>
            </w:pPr>
            <w:r>
              <w:t xml:space="preserve">Tuberculosis (tendencia 2015-2023)</w:t>
            </w:r>
          </w:p>
        </w:tc>
        <w:tc>
          <w:p>
            <w:pPr>
              <w:pStyle w:val="Compact"/>
              <w:jc w:val="left"/>
            </w:pPr>
            <w:r>
              <w:t xml:space="preserve">+34,6% incidencia</w:t>
            </w:r>
          </w:p>
        </w:tc>
        <w:tc>
          <w:p>
            <w:pPr>
              <w:pStyle w:val="Compact"/>
              <w:jc w:val="left"/>
            </w:pPr>
            <w:r>
              <w:t xml:space="preserve">Min. Salud</w:t>
            </w:r>
          </w:p>
        </w:tc>
      </w:tr>
      <w:tr>
        <w:tc>
          <w:p>
            <w:pPr>
              <w:pStyle w:val="Compact"/>
              <w:jc w:val="left"/>
            </w:pPr>
            <w:r>
              <w:t xml:space="preserve">Hantavirus 2025</w:t>
            </w:r>
          </w:p>
        </w:tc>
        <w:tc>
          <w:p>
            <w:pPr>
              <w:pStyle w:val="Compact"/>
              <w:jc w:val="left"/>
            </w:pPr>
            <w:r>
              <w:t xml:space="preserve">86 casos, mortalidad 33,6%</w:t>
            </w:r>
          </w:p>
        </w:tc>
        <w:tc>
          <w:p>
            <w:pPr>
              <w:pStyle w:val="Compact"/>
              <w:jc w:val="left"/>
            </w:pPr>
            <w:r>
              <w:t xml:space="preserve">Min. Salud</w:t>
            </w:r>
          </w:p>
        </w:tc>
      </w:tr>
      <w:tr>
        <w:tc>
          <w:p>
            <w:pPr>
              <w:pStyle w:val="Compact"/>
              <w:jc w:val="left"/>
            </w:pPr>
            <w:r>
              <w:t xml:space="preserve">Cáncer (incidencia)</w:t>
            </w:r>
          </w:p>
        </w:tc>
        <w:tc>
          <w:p>
            <w:pPr>
              <w:pStyle w:val="Compact"/>
              <w:jc w:val="left"/>
            </w:pPr>
            <w:r>
              <w:t xml:space="preserve">216,7/100.000 hab.</w:t>
            </w:r>
          </w:p>
        </w:tc>
        <w:tc>
          <w:p>
            <w:pPr>
              <w:pStyle w:val="Compact"/>
              <w:jc w:val="left"/>
            </w:pPr>
            <w:r>
              <w:t xml:space="preserve">INC</w:t>
            </w:r>
          </w:p>
        </w:tc>
      </w:tr>
      <w:tr>
        <w:tc>
          <w:p>
            <w:pPr>
              <w:pStyle w:val="Compact"/>
              <w:jc w:val="left"/>
            </w:pPr>
            <w:r>
              <w:t xml:space="preserve">Ratio médico/enfermero</w:t>
            </w:r>
          </w:p>
        </w:tc>
        <w:tc>
          <w:p>
            <w:pPr>
              <w:pStyle w:val="Compact"/>
              <w:jc w:val="left"/>
            </w:pPr>
            <w:r>
              <w:t xml:space="preserve">10:1</w:t>
            </w:r>
          </w:p>
        </w:tc>
        <w:tc>
          <w:p>
            <w:pPr>
              <w:pStyle w:val="Compact"/>
              <w:jc w:val="left"/>
            </w:pPr>
            <w:r>
              <w:t xml:space="preserve">Min. Salud</w:t>
            </w:r>
          </w:p>
        </w:tc>
      </w:tr>
      <w:tr>
        <w:tc>
          <w:p>
            <w:pPr>
              <w:pStyle w:val="Compact"/>
              <w:jc w:val="left"/>
            </w:pPr>
            <w:r>
              <w:t xml:space="preserve">Recorte presupuesto salud 2023-2025</w:t>
            </w:r>
          </w:p>
        </w:tc>
        <w:tc>
          <w:p>
            <w:pPr>
              <w:pStyle w:val="Compact"/>
              <w:jc w:val="left"/>
            </w:pPr>
            <w:r>
              <w:t xml:space="preserve">-48%</w:t>
            </w:r>
          </w:p>
        </w:tc>
        <w:tc>
          <w:p>
            <w:pPr>
              <w:pStyle w:val="Compact"/>
              <w:jc w:val="left"/>
            </w:pPr>
            <w:r>
              <w:t xml:space="preserve">Presupuesto Nacional</w:t>
            </w:r>
          </w:p>
        </w:tc>
      </w:tr>
      <w:tr>
        <w:tc>
          <w:p>
            <w:pPr>
              <w:pStyle w:val="Compact"/>
              <w:jc w:val="left"/>
            </w:pPr>
            <w:r>
              <w:t xml:space="preserve">Psicólogos por 10.000 hab.</w:t>
            </w:r>
          </w:p>
        </w:tc>
        <w:tc>
          <w:p>
            <w:pPr>
              <w:pStyle w:val="Compact"/>
              <w:jc w:val="left"/>
            </w:pPr>
            <w:r>
              <w:t xml:space="preserve">17,98 (más alto de la región)</w:t>
            </w:r>
          </w:p>
        </w:tc>
        <w:tc>
          <w:p>
            <w:pPr>
              <w:pStyle w:val="Compact"/>
              <w:jc w:val="left"/>
            </w:pPr>
            <w:r>
              <w:t xml:space="preserve">OMS</w:t>
            </w:r>
          </w:p>
        </w:tc>
      </w:tr>
    </w:tbl>
    <w:p>
      <w:pPr>
        <w:pStyle w:val="Heading3"/>
      </w:pPr>
      <w:bookmarkStart w:id="31" w:name="lo-que-significan-2"/>
      <w:r>
        <w:t xml:space="preserve">Lo que significan</w:t>
      </w:r>
      <w:bookmarkEnd w:id="31"/>
    </w:p>
    <w:p>
      <w:pPr>
        <w:pStyle w:val="FirstParagraph"/>
      </w:pPr>
      <w:r>
        <w:t xml:space="preserve">Argentina gasta más en salud que casi cualquier país latinoamericano y tiene más médicos por habitante que la mayoría. Pero un tercio de la población no tiene cobertura formal. Un bebé en Formosa tiene 3 veces más probabilidad de morir que uno en Buenos Aires. El dengue tuvo el peor brote de la historia. La tuberculosis crece. El Chagas afecta a 1,6 millones de personas y casi nadie habla de eso.</w:t>
      </w:r>
    </w:p>
    <w:p>
      <w:pPr>
        <w:pStyle w:val="BodyText"/>
      </w:pPr>
      <w:r>
        <w:t xml:space="preserve">El sistema tiene recursos pero está fragmentado (público/obras sociales/prepagas no se coordinan), es inequitativo (todo concentrado en Buenos Aires) y es curativo en vez de preventivo (90% del gasto va a tratar enfermedades, menos del 10% a prevenirlas).</w:t>
      </w:r>
    </w:p>
    <w:p>
      <w:r>
        <w:pict>
          <v:rect style="width:0;height:1.5pt" o:hralign="center" o:hrstd="t" o:hr="t"/>
        </w:pict>
      </w:r>
    </w:p>
    <w:p>
      <w:pPr>
        <w:pStyle w:val="Heading2"/>
      </w:pPr>
      <w:bookmarkStart w:id="32" w:name="educación"/>
      <w:r>
        <w:t xml:space="preserve">4. Educación</w:t>
      </w:r>
      <w:bookmarkEnd w:id="32"/>
    </w:p>
    <w:p>
      <w:pPr>
        <w:pStyle w:val="Heading3"/>
      </w:pPr>
      <w:bookmarkStart w:id="33" w:name="los-números-3"/>
      <w:r>
        <w:t xml:space="preserve">Los números</w:t>
      </w:r>
      <w:bookmarkEnd w:id="33"/>
    </w:p>
    <w:tbl>
      <w:tblPr>
        <w:tblStyle w:val="Table"/>
        <w:tblW w:type="pct" w:w="5000.0"/>
        <w:tblLook w:firstRow="1"/>
      </w:tblPr>
      <w:tblGrid>
        <w:gridCol w:w="3350"/>
        <w:gridCol w:w="2132"/>
        <w:gridCol w:w="2436"/>
      </w:tblGrid>
      <w:tr>
        <w:trPr>
          <w:cnfStyle w:firstRow="1"/>
        </w:trPr>
        <w:tc>
          <w:tcPr>
            <w:tcBorders>
              <w:bottom w:val="single"/>
            </w:tcBorders>
            <w:vAlign w:val="bottom"/>
          </w:tcPr>
          <w:p>
            <w:pPr>
              <w:pStyle w:val="Compact"/>
              <w:jc w:val="left"/>
            </w:pPr>
            <w:r>
              <w:t xml:space="preserve">Indicador</w:t>
            </w:r>
          </w:p>
        </w:tc>
        <w:tc>
          <w:tcPr>
            <w:tcBorders>
              <w:bottom w:val="single"/>
            </w:tcBorders>
            <w:vAlign w:val="bottom"/>
          </w:tcPr>
          <w:p>
            <w:pPr>
              <w:pStyle w:val="Compact"/>
              <w:jc w:val="left"/>
            </w:pPr>
            <w:r>
              <w:t xml:space="preserve">Valor</w:t>
            </w:r>
          </w:p>
        </w:tc>
        <w:tc>
          <w:tcPr>
            <w:tcBorders>
              <w:bottom w:val="single"/>
            </w:tcBorders>
            <w:vAlign w:val="bottom"/>
          </w:tcPr>
          <w:p>
            <w:pPr>
              <w:pStyle w:val="Compact"/>
              <w:jc w:val="left"/>
            </w:pPr>
            <w:r>
              <w:t xml:space="preserve">Fuente</w:t>
            </w:r>
          </w:p>
        </w:tc>
      </w:tr>
      <w:tr>
        <w:tc>
          <w:p>
            <w:pPr>
              <w:pStyle w:val="Compact"/>
              <w:jc w:val="left"/>
            </w:pPr>
            <w:r>
              <w:t xml:space="preserve">Terminalidad secundaria en tiempo</w:t>
            </w:r>
          </w:p>
        </w:tc>
        <w:tc>
          <w:p>
            <w:pPr>
              <w:pStyle w:val="Compact"/>
              <w:jc w:val="left"/>
            </w:pPr>
            <w:r>
              <w:t xml:space="preserve">10%</w:t>
            </w:r>
          </w:p>
        </w:tc>
        <w:tc>
          <w:p>
            <w:pPr>
              <w:pStyle w:val="Compact"/>
              <w:jc w:val="left"/>
            </w:pPr>
            <w:r>
              <w:t xml:space="preserve">Min. Educación</w:t>
            </w:r>
          </w:p>
        </w:tc>
      </w:tr>
      <w:tr>
        <w:tc>
          <w:p>
            <w:pPr>
              <w:pStyle w:val="Compact"/>
              <w:jc w:val="left"/>
            </w:pPr>
            <w:r>
              <w:t xml:space="preserve">Competencia mínima matemática (secundaria)</w:t>
            </w:r>
          </w:p>
        </w:tc>
        <w:tc>
          <w:p>
            <w:pPr>
              <w:pStyle w:val="Compact"/>
              <w:jc w:val="left"/>
            </w:pPr>
            <w:r>
              <w:t xml:space="preserve">16%</w:t>
            </w:r>
          </w:p>
        </w:tc>
        <w:tc>
          <w:p>
            <w:pPr>
              <w:pStyle w:val="Compact"/>
              <w:jc w:val="left"/>
            </w:pPr>
            <w:r>
              <w:t xml:space="preserve">PISA 2022</w:t>
            </w:r>
          </w:p>
        </w:tc>
      </w:tr>
      <w:tr>
        <w:tc>
          <w:p>
            <w:pPr>
              <w:pStyle w:val="Compact"/>
              <w:jc w:val="left"/>
            </w:pPr>
            <w:r>
              <w:t xml:space="preserve">Competencia mínima lectura (secundaria)</w:t>
            </w:r>
          </w:p>
        </w:tc>
        <w:tc>
          <w:p>
            <w:pPr>
              <w:pStyle w:val="Compact"/>
              <w:jc w:val="left"/>
            </w:pPr>
            <w:r>
              <w:t xml:space="preserve">48%</w:t>
            </w:r>
          </w:p>
        </w:tc>
        <w:tc>
          <w:p>
            <w:pPr>
              <w:pStyle w:val="Compact"/>
              <w:jc w:val="left"/>
            </w:pPr>
            <w:r>
              <w:t xml:space="preserve">PISA 2022</w:t>
            </w:r>
          </w:p>
        </w:tc>
      </w:tr>
      <w:tr>
        <w:tc>
          <w:p>
            <w:pPr>
              <w:pStyle w:val="Compact"/>
              <w:jc w:val="left"/>
            </w:pPr>
            <w:r>
              <w:t xml:space="preserve">Puntaje PISA matemática</w:t>
            </w:r>
          </w:p>
        </w:tc>
        <w:tc>
          <w:p>
            <w:pPr>
              <w:pStyle w:val="Compact"/>
              <w:jc w:val="left"/>
            </w:pPr>
            <w:r>
              <w:t xml:space="preserve">378 (OCDE: 472)</w:t>
            </w:r>
          </w:p>
        </w:tc>
        <w:tc>
          <w:p>
            <w:pPr>
              <w:pStyle w:val="Compact"/>
              <w:jc w:val="left"/>
            </w:pPr>
            <w:r>
              <w:t xml:space="preserve">PISA 2022</w:t>
            </w:r>
          </w:p>
        </w:tc>
      </w:tr>
      <w:tr>
        <w:tc>
          <w:p>
            <w:pPr>
              <w:pStyle w:val="Compact"/>
              <w:jc w:val="left"/>
            </w:pPr>
            <w:r>
              <w:t xml:space="preserve">APRENDER 6to grado: no alcanzan mínimo en matemática</w:t>
            </w:r>
          </w:p>
        </w:tc>
        <w:tc>
          <w:p>
            <w:pPr>
              <w:pStyle w:val="Compact"/>
              <w:jc w:val="left"/>
            </w:pPr>
            <w:r>
              <w:t xml:space="preserve">48,6%</w:t>
            </w:r>
          </w:p>
        </w:tc>
        <w:tc>
          <w:p>
            <w:pPr>
              <w:pStyle w:val="Compact"/>
              <w:jc w:val="left"/>
            </w:pPr>
            <w:r>
              <w:t xml:space="preserve">Min. Educación 2023</w:t>
            </w:r>
          </w:p>
        </w:tc>
      </w:tr>
      <w:tr>
        <w:tc>
          <w:p>
            <w:pPr>
              <w:pStyle w:val="Compact"/>
              <w:jc w:val="left"/>
            </w:pPr>
            <w:r>
              <w:t xml:space="preserve">Presupuesto educativo (% PBI)</w:t>
            </w:r>
          </w:p>
        </w:tc>
        <w:tc>
          <w:p>
            <w:pPr>
              <w:pStyle w:val="Compact"/>
              <w:jc w:val="left"/>
            </w:pPr>
            <w:r>
              <w:t xml:space="preserve">0,73% (ley exige 6%)</w:t>
            </w:r>
          </w:p>
        </w:tc>
        <w:tc>
          <w:p>
            <w:pPr>
              <w:pStyle w:val="Compact"/>
              <w:jc w:val="left"/>
            </w:pPr>
            <w:r>
              <w:t xml:space="preserve">Presupuesto 2025</w:t>
            </w:r>
          </w:p>
        </w:tc>
      </w:tr>
      <w:tr>
        <w:tc>
          <w:p>
            <w:pPr>
              <w:pStyle w:val="Compact"/>
              <w:jc w:val="left"/>
            </w:pPr>
            <w:r>
              <w:t xml:space="preserve">Caída del FONID</w:t>
            </w:r>
          </w:p>
        </w:tc>
        <w:tc>
          <w:p>
            <w:pPr>
              <w:pStyle w:val="Compact"/>
              <w:jc w:val="left"/>
            </w:pPr>
            <w:r>
              <w:t xml:space="preserve">Eliminado (era 10% del salario docente)</w:t>
            </w:r>
          </w:p>
        </w:tc>
        <w:tc>
          <w:p>
            <w:pPr>
              <w:pStyle w:val="Compact"/>
              <w:jc w:val="left"/>
            </w:pPr>
            <w:r>
              <w:t xml:space="preserve">MTEySS</w:t>
            </w:r>
          </w:p>
        </w:tc>
      </w:tr>
      <w:tr>
        <w:tc>
          <w:p>
            <w:pPr>
              <w:pStyle w:val="Compact"/>
              <w:jc w:val="left"/>
            </w:pPr>
            <w:r>
              <w:t xml:space="preserve">Salario docente promedio</w:t>
            </w:r>
          </w:p>
        </w:tc>
        <w:tc>
          <w:p>
            <w:pPr>
              <w:pStyle w:val="Compact"/>
              <w:jc w:val="left"/>
            </w:pPr>
            <w:r>
              <w:t xml:space="preserve">~$350.000/mes</w:t>
            </w:r>
          </w:p>
        </w:tc>
        <w:tc>
          <w:p>
            <w:pPr>
              <w:pStyle w:val="Compact"/>
              <w:jc w:val="left"/>
            </w:pPr>
            <w:r>
              <w:t xml:space="preserve">CTERA</w:t>
            </w:r>
          </w:p>
        </w:tc>
      </w:tr>
      <w:tr>
        <w:tc>
          <w:p>
            <w:pPr>
              <w:pStyle w:val="Compact"/>
              <w:jc w:val="left"/>
            </w:pPr>
            <w:r>
              <w:t xml:space="preserve">Línea de pobreza familia tipo</w:t>
            </w:r>
          </w:p>
        </w:tc>
        <w:tc>
          <w:p>
            <w:pPr>
              <w:pStyle w:val="Compact"/>
              <w:jc w:val="left"/>
            </w:pPr>
            <w:r>
              <w:t xml:space="preserve">~$600.000/mes</w:t>
            </w:r>
          </w:p>
        </w:tc>
        <w:tc>
          <w:p>
            <w:pPr>
              <w:pStyle w:val="Compact"/>
              <w:jc w:val="left"/>
            </w:pPr>
            <w:r>
              <w:t xml:space="preserve">INDEC</w:t>
            </w:r>
          </w:p>
        </w:tc>
      </w:tr>
      <w:tr>
        <w:tc>
          <w:p>
            <w:pPr>
              <w:pStyle w:val="Compact"/>
              <w:jc w:val="left"/>
            </w:pPr>
            <w:r>
              <w:t xml:space="preserve">Niños sin educación inicial (0-3 años)</w:t>
            </w:r>
          </w:p>
        </w:tc>
        <w:tc>
          <w:p>
            <w:pPr>
              <w:pStyle w:val="Compact"/>
              <w:jc w:val="left"/>
            </w:pPr>
            <w:r>
              <w:t xml:space="preserve">600.000+</w:t>
            </w:r>
          </w:p>
        </w:tc>
        <w:tc>
          <w:p>
            <w:pPr>
              <w:pStyle w:val="Compact"/>
              <w:jc w:val="left"/>
            </w:pPr>
            <w:r>
              <w:t xml:space="preserve">Min. Educación</w:t>
            </w:r>
          </w:p>
        </w:tc>
      </w:tr>
      <w:tr>
        <w:tc>
          <w:p>
            <w:pPr>
              <w:pStyle w:val="Compact"/>
              <w:jc w:val="left"/>
            </w:pPr>
            <w:r>
              <w:t xml:space="preserve">Cobertura educación temprana (0-3)</w:t>
            </w:r>
          </w:p>
        </w:tc>
        <w:tc>
          <w:p>
            <w:pPr>
              <w:pStyle w:val="Compact"/>
              <w:jc w:val="left"/>
            </w:pPr>
            <w:r>
              <w:t xml:space="preserve">5,7%</w:t>
            </w:r>
          </w:p>
        </w:tc>
        <w:tc>
          <w:p>
            <w:pPr>
              <w:pStyle w:val="Compact"/>
              <w:jc w:val="left"/>
            </w:pPr>
            <w:r>
              <w:t xml:space="preserve">Min. Educación</w:t>
            </w:r>
          </w:p>
        </w:tc>
      </w:tr>
      <w:tr>
        <w:tc>
          <w:p>
            <w:pPr>
              <w:pStyle w:val="Compact"/>
              <w:jc w:val="left"/>
            </w:pPr>
            <w:r>
              <w:t xml:space="preserve">Escuelas sin conectividad</w:t>
            </w:r>
          </w:p>
        </w:tc>
        <w:tc>
          <w:p>
            <w:pPr>
              <w:pStyle w:val="Compact"/>
              <w:jc w:val="left"/>
            </w:pPr>
            <w:r>
              <w:t xml:space="preserve">3.170</w:t>
            </w:r>
          </w:p>
        </w:tc>
        <w:tc>
          <w:p>
            <w:pPr>
              <w:pStyle w:val="Compact"/>
              <w:jc w:val="left"/>
            </w:pPr>
            <w:r>
              <w:t xml:space="preserve">ENACOM</w:t>
            </w:r>
          </w:p>
        </w:tc>
      </w:tr>
      <w:tr>
        <w:tc>
          <w:p>
            <w:pPr>
              <w:pStyle w:val="Compact"/>
              <w:jc w:val="left"/>
            </w:pPr>
            <w:r>
              <w:t xml:space="preserve">Niños con discapacidad en educación segregada</w:t>
            </w:r>
          </w:p>
        </w:tc>
        <w:tc>
          <w:p>
            <w:pPr>
              <w:pStyle w:val="Compact"/>
              <w:jc w:val="left"/>
            </w:pPr>
            <w:r>
              <w:t xml:space="preserve">52%</w:t>
            </w:r>
          </w:p>
        </w:tc>
        <w:tc>
          <w:p>
            <w:pPr>
              <w:pStyle w:val="Compact"/>
              <w:jc w:val="left"/>
            </w:pPr>
            <w:r>
              <w:t xml:space="preserve">Min. Educación</w:t>
            </w:r>
          </w:p>
        </w:tc>
      </w:tr>
    </w:tbl>
    <w:p>
      <w:pPr>
        <w:pStyle w:val="Heading3"/>
      </w:pPr>
      <w:bookmarkStart w:id="34" w:name="lo-que-significan-3"/>
      <w:r>
        <w:t xml:space="preserve">Lo que significan</w:t>
      </w:r>
      <w:bookmarkEnd w:id="34"/>
    </w:p>
    <w:p>
      <w:pPr>
        <w:pStyle w:val="FirstParagraph"/>
      </w:pPr>
      <w:r>
        <w:t xml:space="preserve">Solo 1 de cada 10 chicos termina la secundaria en tiempo y forma. Casi la mitad llega a 6to grado sin saber lo básico de matemática. Los docentes ganan menos que la línea de pobreza. El presupuesto educativo es menos de un octavo de lo que exige la ley. Y 600.000 niños menores de 3 años no tienen acceso a ninguna forma de educación temprana — justo cuando el cerebro se desarrolla más rápido.</w:t>
      </w:r>
    </w:p>
    <w:p>
      <w:pPr>
        <w:pStyle w:val="BodyText"/>
      </w:pPr>
      <w:r>
        <w:t xml:space="preserve">Argentina fue pionera en educación pública gratuita. Hoy está traicionando esa tradición.</w:t>
      </w:r>
    </w:p>
    <w:p>
      <w:r>
        <w:pict>
          <v:rect style="width:0;height:1.5pt" o:hralign="center" o:hrstd="t" o:hr="t"/>
        </w:pict>
      </w:r>
    </w:p>
    <w:p>
      <w:pPr>
        <w:pStyle w:val="Heading2"/>
      </w:pPr>
      <w:bookmarkStart w:id="35" w:name="trabajo-y-economía"/>
      <w:r>
        <w:t xml:space="preserve">5. Trabajo y Economía</w:t>
      </w:r>
      <w:bookmarkEnd w:id="35"/>
    </w:p>
    <w:p>
      <w:pPr>
        <w:pStyle w:val="Heading3"/>
      </w:pPr>
      <w:bookmarkStart w:id="36" w:name="los-números-4"/>
      <w:r>
        <w:t xml:space="preserve">Los números</w:t>
      </w:r>
      <w:bookmarkEnd w:id="36"/>
    </w:p>
    <w:tbl>
      <w:tblPr>
        <w:tblStyle w:val="Table"/>
        <w:tblW w:type="pct" w:w="0.0"/>
        <w:tblLook w:firstRow="1"/>
      </w:tblPr>
      <w:tblGrid/>
      <w:tr>
        <w:trPr>
          <w:cnfStyle w:firstRow="1"/>
        </w:trPr>
        <w:tc>
          <w:tcPr>
            <w:tcBorders>
              <w:bottom w:val="single"/>
            </w:tcBorders>
            <w:vAlign w:val="bottom"/>
          </w:tcPr>
          <w:p>
            <w:pPr>
              <w:pStyle w:val="Compact"/>
              <w:jc w:val="left"/>
            </w:pPr>
            <w:r>
              <w:t xml:space="preserve">Indicador</w:t>
            </w:r>
          </w:p>
        </w:tc>
        <w:tc>
          <w:tcPr>
            <w:tcBorders>
              <w:bottom w:val="single"/>
            </w:tcBorders>
            <w:vAlign w:val="bottom"/>
          </w:tcPr>
          <w:p>
            <w:pPr>
              <w:pStyle w:val="Compact"/>
              <w:jc w:val="left"/>
            </w:pPr>
            <w:r>
              <w:t xml:space="preserve">Valor</w:t>
            </w:r>
          </w:p>
        </w:tc>
        <w:tc>
          <w:tcPr>
            <w:tcBorders>
              <w:bottom w:val="single"/>
            </w:tcBorders>
            <w:vAlign w:val="bottom"/>
          </w:tcPr>
          <w:p>
            <w:pPr>
              <w:pStyle w:val="Compact"/>
              <w:jc w:val="left"/>
            </w:pPr>
            <w:r>
              <w:t xml:space="preserve">Fuente</w:t>
            </w:r>
          </w:p>
        </w:tc>
      </w:tr>
      <w:tr>
        <w:tc>
          <w:p>
            <w:pPr>
              <w:pStyle w:val="Compact"/>
              <w:jc w:val="left"/>
            </w:pPr>
            <w:r>
              <w:t xml:space="preserve">Desempleo general</w:t>
            </w:r>
          </w:p>
        </w:tc>
        <w:tc>
          <w:p>
            <w:pPr>
              <w:pStyle w:val="Compact"/>
              <w:jc w:val="left"/>
            </w:pPr>
            <w:r>
              <w:t xml:space="preserve">6,6%</w:t>
            </w:r>
          </w:p>
        </w:tc>
        <w:tc>
          <w:p>
            <w:pPr>
              <w:pStyle w:val="Compact"/>
              <w:jc w:val="left"/>
            </w:pPr>
            <w:r>
              <w:t xml:space="preserve">INDEC</w:t>
            </w:r>
          </w:p>
        </w:tc>
      </w:tr>
      <w:tr>
        <w:tc>
          <w:p>
            <w:pPr>
              <w:pStyle w:val="Compact"/>
              <w:jc w:val="left"/>
            </w:pPr>
            <w:r>
              <w:t xml:space="preserve">Desempleo mujeres jóvenes</w:t>
            </w:r>
          </w:p>
        </w:tc>
        <w:tc>
          <w:p>
            <w:pPr>
              <w:pStyle w:val="Compact"/>
              <w:jc w:val="left"/>
            </w:pPr>
            <w:r>
              <w:t xml:space="preserve">13,8%</w:t>
            </w:r>
          </w:p>
        </w:tc>
        <w:tc>
          <w:p>
            <w:pPr>
              <w:pStyle w:val="Compact"/>
              <w:jc w:val="left"/>
            </w:pPr>
            <w:r>
              <w:t xml:space="preserve">INDEC</w:t>
            </w:r>
          </w:p>
        </w:tc>
      </w:tr>
      <w:tr>
        <w:tc>
          <w:p>
            <w:pPr>
              <w:pStyle w:val="Compact"/>
              <w:jc w:val="left"/>
            </w:pPr>
            <w:r>
              <w:t xml:space="preserve">Informalidad laboral</w:t>
            </w:r>
          </w:p>
        </w:tc>
        <w:tc>
          <w:p>
            <w:pPr>
              <w:pStyle w:val="Compact"/>
              <w:jc w:val="left"/>
            </w:pPr>
            <w:r>
              <w:t xml:space="preserve">43,3% (~8 millones)</w:t>
            </w:r>
          </w:p>
        </w:tc>
        <w:tc>
          <w:p>
            <w:pPr>
              <w:pStyle w:val="Compact"/>
              <w:jc w:val="left"/>
            </w:pPr>
            <w:r>
              <w:t xml:space="preserve">INDEC</w:t>
            </w:r>
          </w:p>
        </w:tc>
      </w:tr>
      <w:tr>
        <w:tc>
          <w:p>
            <w:pPr>
              <w:pStyle w:val="Compact"/>
              <w:jc w:val="left"/>
            </w:pPr>
            <w:r>
              <w:t xml:space="preserve">Exportaciones totales</w:t>
            </w:r>
          </w:p>
        </w:tc>
        <w:tc>
          <w:p>
            <w:pPr>
              <w:pStyle w:val="Compact"/>
              <w:jc w:val="left"/>
            </w:pPr>
            <w:r>
              <w:t xml:space="preserve">USD 79.700M</w:t>
            </w:r>
          </w:p>
        </w:tc>
        <w:tc>
          <w:p>
            <w:pPr>
              <w:pStyle w:val="Compact"/>
              <w:jc w:val="left"/>
            </w:pPr>
            <w:r>
              <w:t xml:space="preserve">INDEC</w:t>
            </w:r>
          </w:p>
        </w:tc>
      </w:tr>
      <w:tr>
        <w:tc>
          <w:p>
            <w:pPr>
              <w:pStyle w:val="Compact"/>
              <w:jc w:val="left"/>
            </w:pPr>
            <w:r>
              <w:t xml:space="preserve">Superávit comercial</w:t>
            </w:r>
          </w:p>
        </w:tc>
        <w:tc>
          <w:p>
            <w:pPr>
              <w:pStyle w:val="Compact"/>
              <w:jc w:val="left"/>
            </w:pPr>
            <w:r>
              <w:t xml:space="preserve">USD 18.900M</w:t>
            </w:r>
          </w:p>
        </w:tc>
        <w:tc>
          <w:p>
            <w:pPr>
              <w:pStyle w:val="Compact"/>
              <w:jc w:val="left"/>
            </w:pPr>
            <w:r>
              <w:t xml:space="preserve">INDEC</w:t>
            </w:r>
          </w:p>
        </w:tc>
      </w:tr>
      <w:tr>
        <w:tc>
          <w:p>
            <w:pPr>
              <w:pStyle w:val="Compact"/>
              <w:jc w:val="left"/>
            </w:pPr>
            <w:r>
              <w:t xml:space="preserve">PyMEs registradas</w:t>
            </w:r>
          </w:p>
        </w:tc>
        <w:tc>
          <w:p>
            <w:pPr>
              <w:pStyle w:val="Compact"/>
              <w:jc w:val="left"/>
            </w:pPr>
            <w:r>
              <w:t xml:space="preserve">515.599</w:t>
            </w:r>
          </w:p>
        </w:tc>
        <w:tc>
          <w:p>
            <w:pPr>
              <w:pStyle w:val="Compact"/>
              <w:jc w:val="left"/>
            </w:pPr>
            <w:r>
              <w:t xml:space="preserve">AFIP</w:t>
            </w:r>
          </w:p>
        </w:tc>
      </w:tr>
      <w:tr>
        <w:tc>
          <w:p>
            <w:pPr>
              <w:pStyle w:val="Compact"/>
              <w:jc w:val="left"/>
            </w:pPr>
            <w:r>
              <w:t xml:space="preserve">Cierre neto de empresas (2024)</w:t>
            </w:r>
          </w:p>
        </w:tc>
        <w:tc>
          <w:p>
            <w:pPr>
              <w:pStyle w:val="Compact"/>
              <w:jc w:val="left"/>
            </w:pPr>
            <w:r>
              <w:t xml:space="preserve">-13.000</w:t>
            </w:r>
          </w:p>
        </w:tc>
        <w:tc>
          <w:p>
            <w:pPr>
              <w:pStyle w:val="Compact"/>
              <w:jc w:val="left"/>
            </w:pPr>
            <w:r>
              <w:t xml:space="preserve">AFIP</w:t>
            </w:r>
          </w:p>
        </w:tc>
      </w:tr>
      <w:tr>
        <w:tc>
          <w:p>
            <w:pPr>
              <w:pStyle w:val="Compact"/>
              <w:jc w:val="left"/>
            </w:pPr>
            <w:r>
              <w:t xml:space="preserve">Cooperativas activas</w:t>
            </w:r>
          </w:p>
        </w:tc>
        <w:tc>
          <w:p>
            <w:pPr>
              <w:pStyle w:val="Compact"/>
              <w:jc w:val="left"/>
            </w:pPr>
            <w:r>
              <w:t xml:space="preserve">19.076 (316.927 trabajadores)</w:t>
            </w:r>
          </w:p>
        </w:tc>
        <w:tc>
          <w:p>
            <w:pPr>
              <w:pStyle w:val="Compact"/>
              <w:jc w:val="left"/>
            </w:pPr>
            <w:r>
              <w:t xml:space="preserve">INAES</w:t>
            </w:r>
          </w:p>
        </w:tc>
      </w:tr>
      <w:tr>
        <w:tc>
          <w:p>
            <w:pPr>
              <w:pStyle w:val="Compact"/>
              <w:jc w:val="left"/>
            </w:pPr>
            <w:r>
              <w:t xml:space="preserve">Repartidores de plataformas</w:t>
            </w:r>
          </w:p>
        </w:tc>
        <w:tc>
          <w:p>
            <w:pPr>
              <w:pStyle w:val="Compact"/>
              <w:jc w:val="left"/>
            </w:pPr>
            <w:r>
              <w:t xml:space="preserve">~160.000</w:t>
            </w:r>
          </w:p>
        </w:tc>
        <w:tc>
          <w:p>
            <w:pPr>
              <w:pStyle w:val="Compact"/>
              <w:jc w:val="left"/>
            </w:pPr>
            <w:r>
              <w:t xml:space="preserve">Estimaciones</w:t>
            </w:r>
          </w:p>
        </w:tc>
      </w:tr>
      <w:tr>
        <w:tc>
          <w:p>
            <w:pPr>
              <w:pStyle w:val="Compact"/>
              <w:jc w:val="left"/>
            </w:pPr>
            <w:r>
              <w:t xml:space="preserve">Pedidos necesarios para línea de pobreza (delivery)</w:t>
            </w:r>
          </w:p>
        </w:tc>
        <w:tc>
          <w:p>
            <w:pPr>
              <w:pStyle w:val="Compact"/>
              <w:jc w:val="left"/>
            </w:pPr>
            <w:r>
              <w:t xml:space="preserve">454/mes</w:t>
            </w:r>
          </w:p>
        </w:tc>
        <w:tc>
          <w:p>
            <w:pPr>
              <w:pStyle w:val="Compact"/>
              <w:jc w:val="left"/>
            </w:pPr>
            <w:r>
              <w:t xml:space="preserve">Cálculo propio</w:t>
            </w:r>
          </w:p>
        </w:tc>
      </w:tr>
      <w:tr>
        <w:tc>
          <w:p>
            <w:pPr>
              <w:pStyle w:val="Compact"/>
              <w:jc w:val="left"/>
            </w:pPr>
            <w:r>
              <w:t xml:space="preserve">Empleos en riesgo por IA</w:t>
            </w:r>
          </w:p>
        </w:tc>
        <w:tc>
          <w:p>
            <w:pPr>
              <w:pStyle w:val="Compact"/>
              <w:jc w:val="left"/>
            </w:pPr>
            <w:r>
              <w:t xml:space="preserve">54% de los puestos</w:t>
            </w:r>
          </w:p>
        </w:tc>
        <w:tc>
          <w:p>
            <w:pPr>
              <w:pStyle w:val="Compact"/>
              <w:jc w:val="left"/>
            </w:pPr>
            <w:r>
              <w:t xml:space="preserve">Estimaciones OCDE/BID</w:t>
            </w:r>
          </w:p>
        </w:tc>
      </w:tr>
      <w:tr>
        <w:tc>
          <w:p>
            <w:pPr>
              <w:pStyle w:val="Compact"/>
              <w:jc w:val="left"/>
            </w:pPr>
            <w:r>
              <w:t xml:space="preserve">Brecha salarial decil 10/decil 1</w:t>
            </w:r>
          </w:p>
        </w:tc>
        <w:tc>
          <w:p>
            <w:pPr>
              <w:pStyle w:val="Compact"/>
              <w:jc w:val="left"/>
            </w:pPr>
            <w:r>
              <w:t xml:space="preserve">13:1</w:t>
            </w:r>
          </w:p>
        </w:tc>
        <w:tc>
          <w:p>
            <w:pPr>
              <w:pStyle w:val="Compact"/>
              <w:jc w:val="left"/>
            </w:pPr>
            <w:r>
              <w:t xml:space="preserve">INDEC</w:t>
            </w:r>
          </w:p>
        </w:tc>
      </w:tr>
    </w:tbl>
    <w:p>
      <w:pPr>
        <w:pStyle w:val="Heading3"/>
      </w:pPr>
      <w:bookmarkStart w:id="37" w:name="lo-que-significan-4"/>
      <w:r>
        <w:t xml:space="preserve">Lo que significan</w:t>
      </w:r>
      <w:bookmarkEnd w:id="37"/>
    </w:p>
    <w:p>
      <w:pPr>
        <w:pStyle w:val="FirstParagraph"/>
      </w:pPr>
      <w:r>
        <w:t xml:space="preserve">Argentina tiene superávit comercial récord y produce alimento para 400 millones de personas. Pero 8 millones de trabajadores son invisibles al Estado. La economía depende excesivamente de commodities agrícolas. Las PyMEs están cerrando más rápido de lo que abren. Un repartidor de delivery necesita hacer 454 pedidos al mes para no ser pobre. Y más de la mitad de los puestos de trabajo están en riesgo por la automatización que viene.</w:t>
      </w:r>
    </w:p>
    <w:p>
      <w:r>
        <w:pict>
          <v:rect style="width:0;height:1.5pt" o:hralign="center" o:hrstd="t" o:hr="t"/>
        </w:pict>
      </w:r>
    </w:p>
    <w:p>
      <w:pPr>
        <w:pStyle w:val="Heading2"/>
      </w:pPr>
      <w:bookmarkStart w:id="38" w:name="ambiente-y-clima"/>
      <w:r>
        <w:t xml:space="preserve">6. Ambiente y Clima</w:t>
      </w:r>
      <w:bookmarkEnd w:id="38"/>
    </w:p>
    <w:p>
      <w:pPr>
        <w:pStyle w:val="Heading3"/>
      </w:pPr>
      <w:bookmarkStart w:id="39" w:name="los-números-5"/>
      <w:r>
        <w:t xml:space="preserve">Los números</w:t>
      </w:r>
      <w:bookmarkEnd w:id="39"/>
    </w:p>
    <w:tbl>
      <w:tblPr>
        <w:tblStyle w:val="Table"/>
        <w:tblW w:type="pct" w:w="0.0"/>
        <w:tblLook w:firstRow="1"/>
      </w:tblPr>
      <w:tblGrid/>
      <w:tr>
        <w:trPr>
          <w:cnfStyle w:firstRow="1"/>
        </w:trPr>
        <w:tc>
          <w:tcPr>
            <w:tcBorders>
              <w:bottom w:val="single"/>
            </w:tcBorders>
            <w:vAlign w:val="bottom"/>
          </w:tcPr>
          <w:p>
            <w:pPr>
              <w:pStyle w:val="Compact"/>
              <w:jc w:val="left"/>
            </w:pPr>
            <w:r>
              <w:t xml:space="preserve">Indicador</w:t>
            </w:r>
          </w:p>
        </w:tc>
        <w:tc>
          <w:tcPr>
            <w:tcBorders>
              <w:bottom w:val="single"/>
            </w:tcBorders>
            <w:vAlign w:val="bottom"/>
          </w:tcPr>
          <w:p>
            <w:pPr>
              <w:pStyle w:val="Compact"/>
              <w:jc w:val="left"/>
            </w:pPr>
            <w:r>
              <w:t xml:space="preserve">Valor</w:t>
            </w:r>
          </w:p>
        </w:tc>
        <w:tc>
          <w:tcPr>
            <w:tcBorders>
              <w:bottom w:val="single"/>
            </w:tcBorders>
            <w:vAlign w:val="bottom"/>
          </w:tcPr>
          <w:p>
            <w:pPr>
              <w:pStyle w:val="Compact"/>
              <w:jc w:val="left"/>
            </w:pPr>
            <w:r>
              <w:t xml:space="preserve">Fuente</w:t>
            </w:r>
          </w:p>
        </w:tc>
      </w:tr>
      <w:tr>
        <w:tc>
          <w:p>
            <w:pPr>
              <w:pStyle w:val="Compact"/>
              <w:jc w:val="left"/>
            </w:pPr>
            <w:r>
              <w:t xml:space="preserve">Emisiones de GEI</w:t>
            </w:r>
          </w:p>
        </w:tc>
        <w:tc>
          <w:p>
            <w:pPr>
              <w:pStyle w:val="Compact"/>
              <w:jc w:val="left"/>
            </w:pPr>
            <w:r>
              <w:t xml:space="preserve">401 MtCO₂e</w:t>
            </w:r>
          </w:p>
        </w:tc>
        <w:tc>
          <w:p>
            <w:pPr>
              <w:pStyle w:val="Compact"/>
              <w:jc w:val="left"/>
            </w:pPr>
            <w:r>
              <w:t xml:space="preserve">Min. Ambiente</w:t>
            </w:r>
          </w:p>
        </w:tc>
      </w:tr>
      <w:tr>
        <w:tc>
          <w:p>
            <w:pPr>
              <w:pStyle w:val="Compact"/>
              <w:jc w:val="left"/>
            </w:pPr>
            <w:r>
              <w:t xml:space="preserve">Deforestación anual</w:t>
            </w:r>
          </w:p>
        </w:tc>
        <w:tc>
          <w:p>
            <w:pPr>
              <w:pStyle w:val="Compact"/>
              <w:jc w:val="left"/>
            </w:pPr>
            <w:r>
              <w:t xml:space="preserve">210.000 ha</w:t>
            </w:r>
          </w:p>
        </w:tc>
        <w:tc>
          <w:p>
            <w:pPr>
              <w:pStyle w:val="Compact"/>
              <w:jc w:val="left"/>
            </w:pPr>
            <w:r>
              <w:t xml:space="preserve">Min. Ambiente</w:t>
            </w:r>
          </w:p>
        </w:tc>
      </w:tr>
      <w:tr>
        <w:tc>
          <w:p>
            <w:pPr>
              <w:pStyle w:val="Compact"/>
              <w:jc w:val="left"/>
            </w:pPr>
            <w:r>
              <w:t xml:space="preserve">Bosque nativo perdido (1998-2022)</w:t>
            </w:r>
          </w:p>
        </w:tc>
        <w:tc>
          <w:p>
            <w:pPr>
              <w:pStyle w:val="Compact"/>
              <w:jc w:val="left"/>
            </w:pPr>
            <w:r>
              <w:t xml:space="preserve">~6,5 millones ha</w:t>
            </w:r>
          </w:p>
        </w:tc>
        <w:tc>
          <w:p>
            <w:pPr>
              <w:pStyle w:val="Compact"/>
              <w:jc w:val="left"/>
            </w:pPr>
            <w:r>
              <w:t xml:space="preserve">Min. Ambiente</w:t>
            </w:r>
          </w:p>
        </w:tc>
      </w:tr>
      <w:tr>
        <w:tc>
          <w:p>
            <w:pPr>
              <w:pStyle w:val="Compact"/>
              <w:jc w:val="left"/>
            </w:pPr>
            <w:r>
              <w:t xml:space="preserve">Matriz energética fósil</w:t>
            </w:r>
          </w:p>
        </w:tc>
        <w:tc>
          <w:p>
            <w:pPr>
              <w:pStyle w:val="Compact"/>
              <w:jc w:val="left"/>
            </w:pPr>
            <w:r>
              <w:t xml:space="preserve">82,6%</w:t>
            </w:r>
          </w:p>
        </w:tc>
        <w:tc>
          <w:p>
            <w:pPr>
              <w:pStyle w:val="Compact"/>
              <w:jc w:val="left"/>
            </w:pPr>
            <w:r>
              <w:t xml:space="preserve">Secretaría de Energía</w:t>
            </w:r>
          </w:p>
        </w:tc>
      </w:tr>
      <w:tr>
        <w:tc>
          <w:p>
            <w:pPr>
              <w:pStyle w:val="Compact"/>
              <w:jc w:val="left"/>
            </w:pPr>
            <w:r>
              <w:t xml:space="preserve">Participación renovables (electricidad)</w:t>
            </w:r>
          </w:p>
        </w:tc>
        <w:tc>
          <w:p>
            <w:pPr>
              <w:pStyle w:val="Compact"/>
              <w:jc w:val="left"/>
            </w:pPr>
            <w:r>
              <w:t xml:space="preserve">~15%</w:t>
            </w:r>
          </w:p>
        </w:tc>
        <w:tc>
          <w:p>
            <w:pPr>
              <w:pStyle w:val="Compact"/>
              <w:jc w:val="left"/>
            </w:pPr>
            <w:r>
              <w:t xml:space="preserve">CAMMESA</w:t>
            </w:r>
          </w:p>
        </w:tc>
      </w:tr>
      <w:tr>
        <w:tc>
          <w:p>
            <w:pPr>
              <w:pStyle w:val="Compact"/>
              <w:jc w:val="left"/>
            </w:pPr>
            <w:r>
              <w:t xml:space="preserve">Reservas de litio</w:t>
            </w:r>
          </w:p>
        </w:tc>
        <w:tc>
          <w:p>
            <w:pPr>
              <w:pStyle w:val="Compact"/>
              <w:jc w:val="left"/>
            </w:pPr>
            <w:r>
              <w:t xml:space="preserve">3ras del mundo (21M ton)</w:t>
            </w:r>
          </w:p>
        </w:tc>
        <w:tc>
          <w:p>
            <w:pPr>
              <w:pStyle w:val="Compact"/>
              <w:jc w:val="left"/>
            </w:pPr>
            <w:r>
              <w:t xml:space="preserve">USGS</w:t>
            </w:r>
          </w:p>
        </w:tc>
      </w:tr>
      <w:tr>
        <w:tc>
          <w:p>
            <w:pPr>
              <w:pStyle w:val="Compact"/>
              <w:jc w:val="left"/>
            </w:pPr>
            <w:r>
              <w:t xml:space="preserve">Superficie afectada por sequía 2023</w:t>
            </w:r>
          </w:p>
        </w:tc>
        <w:tc>
          <w:p>
            <w:pPr>
              <w:pStyle w:val="Compact"/>
              <w:jc w:val="left"/>
            </w:pPr>
            <w:r>
              <w:t xml:space="preserve">160 millones ha</w:t>
            </w:r>
          </w:p>
        </w:tc>
        <w:tc>
          <w:p>
            <w:pPr>
              <w:pStyle w:val="Compact"/>
              <w:jc w:val="left"/>
            </w:pPr>
            <w:r>
              <w:t xml:space="preserve">INTA</w:t>
            </w:r>
          </w:p>
        </w:tc>
      </w:tr>
      <w:tr>
        <w:tc>
          <w:p>
            <w:pPr>
              <w:pStyle w:val="Compact"/>
              <w:jc w:val="left"/>
            </w:pPr>
            <w:r>
              <w:t xml:space="preserve">Pérdida agrícola por sequía 2023</w:t>
            </w:r>
          </w:p>
        </w:tc>
        <w:tc>
          <w:p>
            <w:pPr>
              <w:pStyle w:val="Compact"/>
              <w:jc w:val="left"/>
            </w:pPr>
            <w:r>
              <w:t xml:space="preserve">USD 20.000M</w:t>
            </w:r>
          </w:p>
        </w:tc>
        <w:tc>
          <w:p>
            <w:pPr>
              <w:pStyle w:val="Compact"/>
              <w:jc w:val="left"/>
            </w:pPr>
            <w:r>
              <w:t xml:space="preserve">Bolsa de Comercio Rosario</w:t>
            </w:r>
          </w:p>
        </w:tc>
      </w:tr>
      <w:tr>
        <w:tc>
          <w:p>
            <w:pPr>
              <w:pStyle w:val="Compact"/>
              <w:jc w:val="left"/>
            </w:pPr>
            <w:r>
              <w:t xml:space="preserve">Glaciares en retroceso</w:t>
            </w:r>
          </w:p>
        </w:tc>
        <w:tc>
          <w:p>
            <w:pPr>
              <w:pStyle w:val="Compact"/>
              <w:jc w:val="left"/>
            </w:pPr>
            <w:r>
              <w:t xml:space="preserve">&gt;80% de los glaciares andinos</w:t>
            </w:r>
          </w:p>
        </w:tc>
        <w:tc>
          <w:p>
            <w:pPr>
              <w:pStyle w:val="Compact"/>
              <w:jc w:val="left"/>
            </w:pPr>
            <w:r>
              <w:t xml:space="preserve">IANIGLA</w:t>
            </w:r>
          </w:p>
        </w:tc>
      </w:tr>
    </w:tbl>
    <w:p>
      <w:pPr>
        <w:pStyle w:val="Heading3"/>
      </w:pPr>
      <w:bookmarkStart w:id="40" w:name="lo-que-significan-5"/>
      <w:r>
        <w:t xml:space="preserve">Lo que significan</w:t>
      </w:r>
      <w:bookmarkEnd w:id="40"/>
    </w:p>
    <w:p>
      <w:pPr>
        <w:pStyle w:val="FirstParagraph"/>
      </w:pPr>
      <w:r>
        <w:t xml:space="preserve">Argentina emite 401 millones de toneladas de CO₂ equivalente al año. Pierde 210.000 hectáreas de bosque nativo cada año — un ritmo que, de continuar, habrá eliminado todo el Chaco Seco en pocas décadas. La matriz energética depende en un 82,6% de combustibles fósiles. La sequía de 2023 costó USD 20.000 millones — el equivalente al presupuesto de salud de 3 años.</w:t>
      </w:r>
    </w:p>
    <w:p>
      <w:pPr>
        <w:pStyle w:val="BodyText"/>
      </w:pPr>
      <w:r>
        <w:t xml:space="preserve">Pero hay potencial enorme: el tercer reservorio de litio del mundo, radiación solar de las más altas del planeta, vientos patagónicos excepcionales, y condiciones ideales para hidrógeno verde.</w:t>
      </w:r>
    </w:p>
    <w:p>
      <w:r>
        <w:pict>
          <v:rect style="width:0;height:1.5pt" o:hralign="center" o:hrstd="t" o:hr="t"/>
        </w:pict>
      </w:r>
    </w:p>
    <w:p>
      <w:pPr>
        <w:pStyle w:val="Heading2"/>
      </w:pPr>
      <w:bookmarkStart w:id="41" w:name="seguridad"/>
      <w:r>
        <w:t xml:space="preserve">7. Seguridad</w:t>
      </w:r>
      <w:bookmarkEnd w:id="41"/>
    </w:p>
    <w:p>
      <w:pPr>
        <w:pStyle w:val="Heading3"/>
      </w:pPr>
      <w:bookmarkStart w:id="42" w:name="los-números-6"/>
      <w:r>
        <w:t xml:space="preserve">Los números</w:t>
      </w:r>
      <w:bookmarkEnd w:id="42"/>
    </w:p>
    <w:tbl>
      <w:tblPr>
        <w:tblStyle w:val="Table"/>
        <w:tblW w:type="pct" w:w="0.0"/>
        <w:tblLook w:firstRow="1"/>
      </w:tblPr>
      <w:tblGrid/>
      <w:tr>
        <w:trPr>
          <w:cnfStyle w:firstRow="1"/>
        </w:trPr>
        <w:tc>
          <w:tcPr>
            <w:tcBorders>
              <w:bottom w:val="single"/>
            </w:tcBorders>
            <w:vAlign w:val="bottom"/>
          </w:tcPr>
          <w:p>
            <w:pPr>
              <w:pStyle w:val="Compact"/>
              <w:jc w:val="left"/>
            </w:pPr>
            <w:r>
              <w:t xml:space="preserve">Indicador</w:t>
            </w:r>
          </w:p>
        </w:tc>
        <w:tc>
          <w:tcPr>
            <w:tcBorders>
              <w:bottom w:val="single"/>
            </w:tcBorders>
            <w:vAlign w:val="bottom"/>
          </w:tcPr>
          <w:p>
            <w:pPr>
              <w:pStyle w:val="Compact"/>
              <w:jc w:val="left"/>
            </w:pPr>
            <w:r>
              <w:t xml:space="preserve">Valor</w:t>
            </w:r>
          </w:p>
        </w:tc>
        <w:tc>
          <w:tcPr>
            <w:tcBorders>
              <w:bottom w:val="single"/>
            </w:tcBorders>
            <w:vAlign w:val="bottom"/>
          </w:tcPr>
          <w:p>
            <w:pPr>
              <w:pStyle w:val="Compact"/>
              <w:jc w:val="left"/>
            </w:pPr>
            <w:r>
              <w:t xml:space="preserve">Fuente</w:t>
            </w:r>
          </w:p>
        </w:tc>
      </w:tr>
      <w:tr>
        <w:tc>
          <w:p>
            <w:pPr>
              <w:pStyle w:val="Compact"/>
              <w:jc w:val="left"/>
            </w:pPr>
            <w:r>
              <w:t xml:space="preserve">Tasa de homicidios</w:t>
            </w:r>
          </w:p>
        </w:tc>
        <w:tc>
          <w:p>
            <w:pPr>
              <w:pStyle w:val="Compact"/>
              <w:jc w:val="left"/>
            </w:pPr>
            <w:r>
              <w:t xml:space="preserve">3,8/100.000 (la menor de Sudamérica)</w:t>
            </w:r>
          </w:p>
        </w:tc>
        <w:tc>
          <w:p>
            <w:pPr>
              <w:pStyle w:val="Compact"/>
              <w:jc w:val="left"/>
            </w:pPr>
            <w:r>
              <w:t xml:space="preserve">Min. Seguridad</w:t>
            </w:r>
          </w:p>
        </w:tc>
      </w:tr>
      <w:tr>
        <w:tc>
          <w:p>
            <w:pPr>
              <w:pStyle w:val="Compact"/>
              <w:jc w:val="left"/>
            </w:pPr>
            <w:r>
              <w:t xml:space="preserve">Femicidios anuales</w:t>
            </w:r>
          </w:p>
        </w:tc>
        <w:tc>
          <w:p>
            <w:pPr>
              <w:pStyle w:val="Compact"/>
              <w:jc w:val="left"/>
            </w:pPr>
            <w:r>
              <w:t xml:space="preserve">247 (2023)</w:t>
            </w:r>
          </w:p>
        </w:tc>
        <w:tc>
          <w:p>
            <w:pPr>
              <w:pStyle w:val="Compact"/>
              <w:jc w:val="left"/>
            </w:pPr>
            <w:r>
              <w:t xml:space="preserve">Observatorio MuMaLá</w:t>
            </w:r>
          </w:p>
        </w:tc>
      </w:tr>
      <w:tr>
        <w:tc>
          <w:p>
            <w:pPr>
              <w:pStyle w:val="Compact"/>
              <w:jc w:val="left"/>
            </w:pPr>
            <w:r>
              <w:t xml:space="preserve">Población carcelaria</w:t>
            </w:r>
          </w:p>
        </w:tc>
        <w:tc>
          <w:p>
            <w:pPr>
              <w:pStyle w:val="Compact"/>
              <w:jc w:val="left"/>
            </w:pPr>
            <w:r>
              <w:t xml:space="preserve">~121.000</w:t>
            </w:r>
          </w:p>
        </w:tc>
        <w:tc>
          <w:p>
            <w:pPr>
              <w:pStyle w:val="Compact"/>
              <w:jc w:val="left"/>
            </w:pPr>
            <w:r>
              <w:t xml:space="preserve">SNEEP</w:t>
            </w:r>
          </w:p>
        </w:tc>
      </w:tr>
      <w:tr>
        <w:tc>
          <w:p>
            <w:pPr>
              <w:pStyle w:val="Compact"/>
              <w:jc w:val="left"/>
            </w:pPr>
            <w:r>
              <w:t xml:space="preserve">Sobrepoblación penitenciaria</w:t>
            </w:r>
          </w:p>
        </w:tc>
        <w:tc>
          <w:p>
            <w:pPr>
              <w:pStyle w:val="Compact"/>
              <w:jc w:val="left"/>
            </w:pPr>
            <w:r>
              <w:t xml:space="preserve">130% de capacidad</w:t>
            </w:r>
          </w:p>
        </w:tc>
        <w:tc>
          <w:p>
            <w:pPr>
              <w:pStyle w:val="Compact"/>
              <w:jc w:val="left"/>
            </w:pPr>
            <w:r>
              <w:t xml:space="preserve">SNEEP</w:t>
            </w:r>
          </w:p>
        </w:tc>
      </w:tr>
      <w:tr>
        <w:tc>
          <w:p>
            <w:pPr>
              <w:pStyle w:val="Compact"/>
              <w:jc w:val="left"/>
            </w:pPr>
            <w:r>
              <w:t xml:space="preserve">Presupuesto en cárceles vs. rehabilitación</w:t>
            </w:r>
          </w:p>
        </w:tc>
        <w:tc>
          <w:p>
            <w:pPr>
              <w:pStyle w:val="Compact"/>
              <w:jc w:val="left"/>
            </w:pPr>
            <w:r>
              <w:t xml:space="preserve">95% / 5%</w:t>
            </w:r>
          </w:p>
        </w:tc>
        <w:tc>
          <w:p>
            <w:pPr>
              <w:pStyle w:val="Compact"/>
              <w:jc w:val="left"/>
            </w:pPr>
            <w:r>
              <w:t xml:space="preserve">Estimación</w:t>
            </w:r>
          </w:p>
        </w:tc>
      </w:tr>
      <w:tr>
        <w:tc>
          <w:p>
            <w:pPr>
              <w:pStyle w:val="Compact"/>
              <w:jc w:val="left"/>
            </w:pPr>
            <w:r>
              <w:t xml:space="preserve">Delitos contra la propiedad (% del total)</w:t>
            </w:r>
          </w:p>
        </w:tc>
        <w:tc>
          <w:p>
            <w:pPr>
              <w:pStyle w:val="Compact"/>
              <w:jc w:val="left"/>
            </w:pPr>
            <w:r>
              <w:t xml:space="preserve">51%</w:t>
            </w:r>
          </w:p>
        </w:tc>
        <w:tc>
          <w:p>
            <w:pPr>
              <w:pStyle w:val="Compact"/>
              <w:jc w:val="left"/>
            </w:pPr>
            <w:r>
              <w:t xml:space="preserve">Min. Seguridad</w:t>
            </w:r>
          </w:p>
        </w:tc>
      </w:tr>
      <w:tr>
        <w:tc>
          <w:p>
            <w:pPr>
              <w:pStyle w:val="Compact"/>
              <w:jc w:val="left"/>
            </w:pPr>
            <w:r>
              <w:t xml:space="preserve">Percepción de inseguridad</w:t>
            </w:r>
          </w:p>
        </w:tc>
        <w:tc>
          <w:p>
            <w:pPr>
              <w:pStyle w:val="Compact"/>
              <w:jc w:val="left"/>
            </w:pPr>
            <w:r>
              <w:t xml:space="preserve">83% se siente inseguro</w:t>
            </w:r>
          </w:p>
        </w:tc>
        <w:tc>
          <w:p>
            <w:pPr>
              <w:pStyle w:val="Compact"/>
              <w:jc w:val="left"/>
            </w:pPr>
            <w:r>
              <w:t xml:space="preserve">Encuestas</w:t>
            </w:r>
          </w:p>
        </w:tc>
      </w:tr>
      <w:tr>
        <w:tc>
          <w:p>
            <w:pPr>
              <w:pStyle w:val="Compact"/>
              <w:jc w:val="left"/>
            </w:pPr>
            <w:r>
              <w:t xml:space="preserve">Reincidencia penitenciaria</w:t>
            </w:r>
          </w:p>
        </w:tc>
        <w:tc>
          <w:p>
            <w:pPr>
              <w:pStyle w:val="Compact"/>
              <w:jc w:val="left"/>
            </w:pPr>
            <w:r>
              <w:t xml:space="preserve">~70%</w:t>
            </w:r>
          </w:p>
        </w:tc>
        <w:tc>
          <w:p>
            <w:pPr>
              <w:pStyle w:val="Compact"/>
              <w:jc w:val="left"/>
            </w:pPr>
            <w:r>
              <w:t xml:space="preserve">Estimaciones</w:t>
            </w:r>
          </w:p>
        </w:tc>
      </w:tr>
    </w:tbl>
    <w:p>
      <w:pPr>
        <w:pStyle w:val="Heading3"/>
      </w:pPr>
      <w:bookmarkStart w:id="43" w:name="lo-que-significan-6"/>
      <w:r>
        <w:t xml:space="preserve">Lo que significan</w:t>
      </w:r>
      <w:bookmarkEnd w:id="43"/>
    </w:p>
    <w:p>
      <w:pPr>
        <w:pStyle w:val="FirstParagraph"/>
      </w:pPr>
      <w:r>
        <w:t xml:space="preserve">Argentina tiene la tasa de homicidios más baja de Sudamérica, pero la percepción de inseguridad es altísima (83%). El problema no es solo el delito — es la violencia estructural. 247 mujeres asesinadas por violencia de género cada año. Cárceles al 130% de capacidad que funcionan como escuelas del crimen: el 70% reincide. El 95% del presupuesto penitenciario va a contención y casi nada a rehabilitación. La mayoría de los presos están por delitos no violentos contra la propiedad.</w:t>
      </w:r>
    </w:p>
    <w:p>
      <w:r>
        <w:pict>
          <v:rect style="width:0;height:1.5pt" o:hralign="center" o:hrstd="t" o:hr="t"/>
        </w:pict>
      </w:r>
    </w:p>
    <w:p>
      <w:pPr>
        <w:pStyle w:val="Heading2"/>
      </w:pPr>
      <w:bookmarkStart w:id="44" w:name="gobierno-y-estado"/>
      <w:r>
        <w:t xml:space="preserve">8. Gobierno y Estado</w:t>
      </w:r>
      <w:bookmarkEnd w:id="44"/>
    </w:p>
    <w:p>
      <w:pPr>
        <w:pStyle w:val="Heading3"/>
      </w:pPr>
      <w:bookmarkStart w:id="45" w:name="los-números-7"/>
      <w:r>
        <w:t xml:space="preserve">Los números</w:t>
      </w:r>
      <w:bookmarkEnd w:id="45"/>
    </w:p>
    <w:tbl>
      <w:tblPr>
        <w:tblStyle w:val="Table"/>
        <w:tblW w:type="pct" w:w="5000.0"/>
        <w:tblLook w:firstRow="1"/>
      </w:tblPr>
      <w:tblGrid>
        <w:gridCol w:w="3350"/>
        <w:gridCol w:w="2132"/>
        <w:gridCol w:w="2436"/>
      </w:tblGrid>
      <w:tr>
        <w:trPr>
          <w:cnfStyle w:firstRow="1"/>
        </w:trPr>
        <w:tc>
          <w:tcPr>
            <w:tcBorders>
              <w:bottom w:val="single"/>
            </w:tcBorders>
            <w:vAlign w:val="bottom"/>
          </w:tcPr>
          <w:p>
            <w:pPr>
              <w:pStyle w:val="Compact"/>
              <w:jc w:val="left"/>
            </w:pPr>
            <w:r>
              <w:t xml:space="preserve">Indicador</w:t>
            </w:r>
          </w:p>
        </w:tc>
        <w:tc>
          <w:tcPr>
            <w:tcBorders>
              <w:bottom w:val="single"/>
            </w:tcBorders>
            <w:vAlign w:val="bottom"/>
          </w:tcPr>
          <w:p>
            <w:pPr>
              <w:pStyle w:val="Compact"/>
              <w:jc w:val="left"/>
            </w:pPr>
            <w:r>
              <w:t xml:space="preserve">Valor</w:t>
            </w:r>
          </w:p>
        </w:tc>
        <w:tc>
          <w:tcPr>
            <w:tcBorders>
              <w:bottom w:val="single"/>
            </w:tcBorders>
            <w:vAlign w:val="bottom"/>
          </w:tcPr>
          <w:p>
            <w:pPr>
              <w:pStyle w:val="Compact"/>
              <w:jc w:val="left"/>
            </w:pPr>
            <w:r>
              <w:t xml:space="preserve">Fuente</w:t>
            </w:r>
          </w:p>
        </w:tc>
      </w:tr>
      <w:tr>
        <w:tc>
          <w:p>
            <w:pPr>
              <w:pStyle w:val="Compact"/>
              <w:jc w:val="left"/>
            </w:pPr>
            <w:r>
              <w:t xml:space="preserve">Índice de percepción de corrupción</w:t>
            </w:r>
          </w:p>
        </w:tc>
        <w:tc>
          <w:p>
            <w:pPr>
              <w:pStyle w:val="Compact"/>
              <w:jc w:val="left"/>
            </w:pPr>
            <w:r>
              <w:t xml:space="preserve">36/100 (puesto 98 de 180)</w:t>
            </w:r>
          </w:p>
        </w:tc>
        <w:tc>
          <w:p>
            <w:pPr>
              <w:pStyle w:val="Compact"/>
              <w:jc w:val="left"/>
            </w:pPr>
            <w:r>
              <w:t xml:space="preserve">Transparency International</w:t>
            </w:r>
          </w:p>
        </w:tc>
      </w:tr>
      <w:tr>
        <w:tc>
          <w:p>
            <w:pPr>
              <w:pStyle w:val="Compact"/>
              <w:jc w:val="left"/>
            </w:pPr>
            <w:r>
              <w:t xml:space="preserve">Empleados públicos centrales</w:t>
            </w:r>
          </w:p>
        </w:tc>
        <w:tc>
          <w:p>
            <w:pPr>
              <w:pStyle w:val="Compact"/>
              <w:jc w:val="left"/>
            </w:pPr>
            <w:r>
              <w:t xml:space="preserve">309.000</w:t>
            </w:r>
          </w:p>
        </w:tc>
        <w:tc>
          <w:p>
            <w:pPr>
              <w:pStyle w:val="Compact"/>
              <w:jc w:val="left"/>
            </w:pPr>
            <w:r>
              <w:t xml:space="preserve">BIEP</w:t>
            </w:r>
          </w:p>
        </w:tc>
      </w:tr>
      <w:tr>
        <w:tc>
          <w:p>
            <w:pPr>
              <w:pStyle w:val="Compact"/>
              <w:jc w:val="left"/>
            </w:pPr>
            <w:r>
              <w:t xml:space="preserve">Usuarios de Mi Argentina</w:t>
            </w:r>
          </w:p>
        </w:tc>
        <w:tc>
          <w:p>
            <w:pPr>
              <w:pStyle w:val="Compact"/>
              <w:jc w:val="left"/>
            </w:pPr>
            <w:r>
              <w:t xml:space="preserve">21 millones</w:t>
            </w:r>
          </w:p>
        </w:tc>
        <w:tc>
          <w:p>
            <w:pPr>
              <w:pStyle w:val="Compact"/>
              <w:jc w:val="left"/>
            </w:pPr>
            <w:r>
              <w:t xml:space="preserve">Jefatura de Gabinete</w:t>
            </w:r>
          </w:p>
        </w:tc>
      </w:tr>
      <w:tr>
        <w:tc>
          <w:p>
            <w:pPr>
              <w:pStyle w:val="Compact"/>
              <w:jc w:val="left"/>
            </w:pPr>
            <w:r>
              <w:t xml:space="preserve">Trámites 100% digitales</w:t>
            </w:r>
          </w:p>
        </w:tc>
        <w:tc>
          <w:p>
            <w:pPr>
              <w:pStyle w:val="Compact"/>
              <w:jc w:val="left"/>
            </w:pPr>
            <w:r>
              <w:t xml:space="preserve">~60 (de miles posibles)</w:t>
            </w:r>
          </w:p>
        </w:tc>
        <w:tc>
          <w:p>
            <w:pPr>
              <w:pStyle w:val="Compact"/>
              <w:jc w:val="left"/>
            </w:pPr>
            <w:r>
              <w:t xml:space="preserve">Estimación</w:t>
            </w:r>
          </w:p>
        </w:tc>
      </w:tr>
      <w:tr>
        <w:tc>
          <w:p>
            <w:pPr>
              <w:pStyle w:val="Compact"/>
              <w:jc w:val="left"/>
            </w:pPr>
            <w:r>
              <w:t xml:space="preserve">Expediente judicial digital</w:t>
            </w:r>
          </w:p>
        </w:tc>
        <w:tc>
          <w:p>
            <w:pPr>
              <w:pStyle w:val="Compact"/>
              <w:jc w:val="left"/>
            </w:pPr>
            <w:r>
              <w:t xml:space="preserve">Parcial, fragmentado</w:t>
            </w:r>
          </w:p>
        </w:tc>
        <w:tc>
          <w:p>
            <w:pPr>
              <w:pStyle w:val="Compact"/>
              <w:jc w:val="left"/>
            </w:pPr>
            <w:r>
              <w:t xml:space="preserve">Poder Judicial</w:t>
            </w:r>
          </w:p>
        </w:tc>
      </w:tr>
      <w:tr>
        <w:tc>
          <w:p>
            <w:pPr>
              <w:pStyle w:val="Compact"/>
              <w:jc w:val="left"/>
            </w:pPr>
            <w:r>
              <w:t xml:space="preserve">Provincias</w:t>
            </w:r>
          </w:p>
        </w:tc>
        <w:tc>
          <w:p>
            <w:pPr>
              <w:pStyle w:val="Compact"/>
              <w:jc w:val="left"/>
            </w:pPr>
            <w:r>
              <w:t xml:space="preserve">23 + CABA</w:t>
            </w:r>
          </w:p>
        </w:tc>
        <w:tc>
          <w:p>
            <w:pPr>
              <w:pStyle w:val="Compact"/>
              <w:jc w:val="left"/>
            </w:pPr>
            <w:r>
              <w:t xml:space="preserve">Constitución</w:t>
            </w:r>
          </w:p>
        </w:tc>
      </w:tr>
      <w:tr>
        <w:tc>
          <w:p>
            <w:pPr>
              <w:pStyle w:val="Compact"/>
              <w:jc w:val="left"/>
            </w:pPr>
            <w:r>
              <w:t xml:space="preserve">Municipios</w:t>
            </w:r>
          </w:p>
        </w:tc>
        <w:tc>
          <w:p>
            <w:pPr>
              <w:pStyle w:val="Compact"/>
              <w:jc w:val="left"/>
            </w:pPr>
            <w:r>
              <w:t xml:space="preserve">2.300+</w:t>
            </w:r>
          </w:p>
        </w:tc>
        <w:tc>
          <w:p>
            <w:pPr>
              <w:pStyle w:val="Compact"/>
              <w:jc w:val="left"/>
            </w:pPr>
            <w:r>
              <w:t xml:space="preserve">—</w:t>
            </w:r>
          </w:p>
        </w:tc>
      </w:tr>
      <w:tr>
        <w:tc>
          <w:p>
            <w:pPr>
              <w:pStyle w:val="Compact"/>
              <w:jc w:val="left"/>
            </w:pPr>
            <w:r>
              <w:t xml:space="preserve">Coparticipación (% del total de recursos)</w:t>
            </w:r>
          </w:p>
        </w:tc>
        <w:tc>
          <w:p>
            <w:pPr>
              <w:pStyle w:val="Compact"/>
              <w:jc w:val="left"/>
            </w:pPr>
            <w:r>
              <w:t xml:space="preserve">~60% provincias, ~40% Nación</w:t>
            </w:r>
          </w:p>
        </w:tc>
        <w:tc>
          <w:p>
            <w:pPr>
              <w:pStyle w:val="Compact"/>
              <w:jc w:val="left"/>
            </w:pPr>
            <w:r>
              <w:t xml:space="preserve">Ley de Coparticipación</w:t>
            </w:r>
          </w:p>
        </w:tc>
      </w:tr>
    </w:tbl>
    <w:p>
      <w:pPr>
        <w:pStyle w:val="Heading3"/>
      </w:pPr>
      <w:bookmarkStart w:id="46" w:name="lo-que-significan-7"/>
      <w:r>
        <w:t xml:space="preserve">Lo que significan</w:t>
      </w:r>
      <w:bookmarkEnd w:id="46"/>
    </w:p>
    <w:p>
      <w:pPr>
        <w:pStyle w:val="FirstParagraph"/>
      </w:pPr>
      <w:r>
        <w:t xml:space="preserve">Argentina tiene un índice de corrupción de 36/100 — mal pero no el peor de la región. Tiene 21 millones de usuarios en Mi Argentina — una base digital real. Pero la fragmentación institucional es brutal: Nación, 23 provincias, 2.300 municipios, con un sistema de coparticipación que no responde a necesidades sino a negociaciones políticas históricas. El Estado funciona a medias: puede hacer DNI digital pero no puede conectar la base de salud con la de educación.</w:t>
      </w:r>
    </w:p>
    <w:p>
      <w:r>
        <w:pict>
          <v:rect style="width:0;height:1.5pt" o:hralign="center" o:hrstd="t" o:hr="t"/>
        </w:pict>
      </w:r>
    </w:p>
    <w:p>
      <w:pPr>
        <w:pStyle w:val="Heading2"/>
      </w:pPr>
      <w:bookmarkStart w:id="47" w:name="fiscalidad-y-deuda"/>
      <w:r>
        <w:t xml:space="preserve">9. Fiscalidad y Deuda</w:t>
      </w:r>
      <w:bookmarkEnd w:id="47"/>
    </w:p>
    <w:p>
      <w:pPr>
        <w:pStyle w:val="Heading3"/>
      </w:pPr>
      <w:bookmarkStart w:id="48" w:name="los-números-8"/>
      <w:r>
        <w:t xml:space="preserve">Los números</w:t>
      </w:r>
      <w:bookmarkEnd w:id="48"/>
    </w:p>
    <w:tbl>
      <w:tblPr>
        <w:tblStyle w:val="Table"/>
        <w:tblW w:type="pct" w:w="0.0"/>
        <w:tblLook w:firstRow="1"/>
      </w:tblPr>
      <w:tblGrid/>
      <w:tr>
        <w:trPr>
          <w:cnfStyle w:firstRow="1"/>
        </w:trPr>
        <w:tc>
          <w:tcPr>
            <w:tcBorders>
              <w:bottom w:val="single"/>
            </w:tcBorders>
            <w:vAlign w:val="bottom"/>
          </w:tcPr>
          <w:p>
            <w:pPr>
              <w:pStyle w:val="Compact"/>
              <w:jc w:val="left"/>
            </w:pPr>
            <w:r>
              <w:t xml:space="preserve">Indicador</w:t>
            </w:r>
          </w:p>
        </w:tc>
        <w:tc>
          <w:tcPr>
            <w:tcBorders>
              <w:bottom w:val="single"/>
            </w:tcBorders>
            <w:vAlign w:val="bottom"/>
          </w:tcPr>
          <w:p>
            <w:pPr>
              <w:pStyle w:val="Compact"/>
              <w:jc w:val="left"/>
            </w:pPr>
            <w:r>
              <w:t xml:space="preserve">Valor</w:t>
            </w:r>
          </w:p>
        </w:tc>
        <w:tc>
          <w:tcPr>
            <w:tcBorders>
              <w:bottom w:val="single"/>
            </w:tcBorders>
            <w:vAlign w:val="bottom"/>
          </w:tcPr>
          <w:p>
            <w:pPr>
              <w:pStyle w:val="Compact"/>
              <w:jc w:val="left"/>
            </w:pPr>
            <w:r>
              <w:t xml:space="preserve">Fuente</w:t>
            </w:r>
          </w:p>
        </w:tc>
      </w:tr>
      <w:tr>
        <w:tc>
          <w:p>
            <w:pPr>
              <w:pStyle w:val="Compact"/>
              <w:jc w:val="left"/>
            </w:pPr>
            <w:r>
              <w:t xml:space="preserve">Presión tributaria</w:t>
            </w:r>
          </w:p>
        </w:tc>
        <w:tc>
          <w:p>
            <w:pPr>
              <w:pStyle w:val="Compact"/>
              <w:jc w:val="left"/>
            </w:pPr>
            <w:r>
              <w:t xml:space="preserve">21,3% del PBI</w:t>
            </w:r>
          </w:p>
        </w:tc>
        <w:tc>
          <w:p>
            <w:pPr>
              <w:pStyle w:val="Compact"/>
              <w:jc w:val="left"/>
            </w:pPr>
            <w:r>
              <w:t xml:space="preserve">AFIP</w:t>
            </w:r>
          </w:p>
        </w:tc>
      </w:tr>
      <w:tr>
        <w:tc>
          <w:p>
            <w:pPr>
              <w:pStyle w:val="Compact"/>
              <w:jc w:val="left"/>
            </w:pPr>
            <w:r>
              <w:t xml:space="preserve">Evasión de IVA</w:t>
            </w:r>
          </w:p>
        </w:tc>
        <w:tc>
          <w:p>
            <w:pPr>
              <w:pStyle w:val="Compact"/>
              <w:jc w:val="left"/>
            </w:pPr>
            <w:r>
              <w:t xml:space="preserve">~40%</w:t>
            </w:r>
          </w:p>
        </w:tc>
        <w:tc>
          <w:p>
            <w:pPr>
              <w:pStyle w:val="Compact"/>
              <w:jc w:val="left"/>
            </w:pPr>
            <w:r>
              <w:t xml:space="preserve">Estimaciones AFIP</w:t>
            </w:r>
          </w:p>
        </w:tc>
      </w:tr>
      <w:tr>
        <w:tc>
          <w:p>
            <w:pPr>
              <w:pStyle w:val="Compact"/>
              <w:jc w:val="left"/>
            </w:pPr>
            <w:r>
              <w:t xml:space="preserve">Evasión de Ganancias</w:t>
            </w:r>
          </w:p>
        </w:tc>
        <w:tc>
          <w:p>
            <w:pPr>
              <w:pStyle w:val="Compact"/>
              <w:jc w:val="left"/>
            </w:pPr>
            <w:r>
              <w:t xml:space="preserve">~50%</w:t>
            </w:r>
          </w:p>
        </w:tc>
        <w:tc>
          <w:p>
            <w:pPr>
              <w:pStyle w:val="Compact"/>
              <w:jc w:val="left"/>
            </w:pPr>
            <w:r>
              <w:t xml:space="preserve">Estimaciones</w:t>
            </w:r>
          </w:p>
        </w:tc>
      </w:tr>
      <w:tr>
        <w:tc>
          <w:p>
            <w:pPr>
              <w:pStyle w:val="Compact"/>
              <w:jc w:val="left"/>
            </w:pPr>
            <w:r>
              <w:t xml:space="preserve">Pérdida por evasión total</w:t>
            </w:r>
          </w:p>
        </w:tc>
        <w:tc>
          <w:p>
            <w:pPr>
              <w:pStyle w:val="Compact"/>
              <w:jc w:val="left"/>
            </w:pPr>
            <w:r>
              <w:t xml:space="preserve">~USD 25.000M/año</w:t>
            </w:r>
          </w:p>
        </w:tc>
        <w:tc>
          <w:p>
            <w:pPr>
              <w:pStyle w:val="Compact"/>
              <w:jc w:val="left"/>
            </w:pPr>
            <w:r>
              <w:t xml:space="preserve">CEPAL/AFIP</w:t>
            </w:r>
          </w:p>
        </w:tc>
      </w:tr>
      <w:tr>
        <w:tc>
          <w:p>
            <w:pPr>
              <w:pStyle w:val="Compact"/>
              <w:jc w:val="left"/>
            </w:pPr>
            <w:r>
              <w:t xml:space="preserve">Deuda pública total</w:t>
            </w:r>
          </w:p>
        </w:tc>
        <w:tc>
          <w:p>
            <w:pPr>
              <w:pStyle w:val="Compact"/>
              <w:jc w:val="left"/>
            </w:pPr>
            <w:r>
              <w:t xml:space="preserve">~60% del PBI (~USD 390.000M)</w:t>
            </w:r>
          </w:p>
        </w:tc>
        <w:tc>
          <w:p>
            <w:pPr>
              <w:pStyle w:val="Compact"/>
              <w:jc w:val="left"/>
            </w:pPr>
            <w:r>
              <w:t xml:space="preserve">Min. Economía</w:t>
            </w:r>
          </w:p>
        </w:tc>
      </w:tr>
      <w:tr>
        <w:tc>
          <w:p>
            <w:pPr>
              <w:pStyle w:val="Compact"/>
              <w:jc w:val="left"/>
            </w:pPr>
            <w:r>
              <w:t xml:space="preserve">Deuda FMI</w:t>
            </w:r>
          </w:p>
        </w:tc>
        <w:tc>
          <w:p>
            <w:pPr>
              <w:pStyle w:val="Compact"/>
              <w:jc w:val="left"/>
            </w:pPr>
            <w:r>
              <w:t xml:space="preserve">USD 57.100M</w:t>
            </w:r>
          </w:p>
        </w:tc>
        <w:tc>
          <w:p>
            <w:pPr>
              <w:pStyle w:val="Compact"/>
              <w:jc w:val="left"/>
            </w:pPr>
            <w:r>
              <w:t xml:space="preserve">FMI</w:t>
            </w:r>
          </w:p>
        </w:tc>
      </w:tr>
      <w:tr>
        <w:tc>
          <w:p>
            <w:pPr>
              <w:pStyle w:val="Compact"/>
              <w:jc w:val="left"/>
            </w:pPr>
            <w:r>
              <w:t xml:space="preserve">Subsidios energéticos (2024)</w:t>
            </w:r>
          </w:p>
        </w:tc>
        <w:tc>
          <w:p>
            <w:pPr>
              <w:pStyle w:val="Compact"/>
              <w:jc w:val="left"/>
            </w:pPr>
            <w:r>
              <w:t xml:space="preserve">~USD 12.000M</w:t>
            </w:r>
          </w:p>
        </w:tc>
        <w:tc>
          <w:p>
            <w:pPr>
              <w:pStyle w:val="Compact"/>
              <w:jc w:val="left"/>
            </w:pPr>
            <w:r>
              <w:t xml:space="preserve">Presupuesto Nacional</w:t>
            </w:r>
          </w:p>
        </w:tc>
      </w:tr>
      <w:tr>
        <w:tc>
          <w:p>
            <w:pPr>
              <w:pStyle w:val="Compact"/>
              <w:jc w:val="left"/>
            </w:pPr>
            <w:r>
              <w:t xml:space="preserve">% subsidios que van al 20% más rico</w:t>
            </w:r>
          </w:p>
        </w:tc>
        <w:tc>
          <w:p>
            <w:pPr>
              <w:pStyle w:val="Compact"/>
              <w:jc w:val="left"/>
            </w:pPr>
            <w:r>
              <w:t xml:space="preserve">~40%</w:t>
            </w:r>
          </w:p>
        </w:tc>
        <w:tc>
          <w:p>
            <w:pPr>
              <w:pStyle w:val="Compact"/>
              <w:jc w:val="left"/>
            </w:pPr>
            <w:r>
              <w:t xml:space="preserve">ASAP</w:t>
            </w:r>
          </w:p>
        </w:tc>
      </w:tr>
      <w:tr>
        <w:tc>
          <w:p>
            <w:pPr>
              <w:pStyle w:val="Compact"/>
              <w:jc w:val="left"/>
            </w:pPr>
            <w:r>
              <w:t xml:space="preserve">Reservas internacionales</w:t>
            </w:r>
          </w:p>
        </w:tc>
        <w:tc>
          <w:p>
            <w:pPr>
              <w:pStyle w:val="Compact"/>
              <w:jc w:val="left"/>
            </w:pPr>
            <w:r>
              <w:t xml:space="preserve">~USD 30.000M</w:t>
            </w:r>
          </w:p>
        </w:tc>
        <w:tc>
          <w:p>
            <w:pPr>
              <w:pStyle w:val="Compact"/>
              <w:jc w:val="left"/>
            </w:pPr>
            <w:r>
              <w:t xml:space="preserve">BCRA</w:t>
            </w:r>
          </w:p>
        </w:tc>
      </w:tr>
    </w:tbl>
    <w:p>
      <w:pPr>
        <w:pStyle w:val="Heading3"/>
      </w:pPr>
      <w:bookmarkStart w:id="49" w:name="lo-que-significan-8"/>
      <w:r>
        <w:t xml:space="preserve">Lo que significan</w:t>
      </w:r>
      <w:bookmarkEnd w:id="49"/>
    </w:p>
    <w:p>
      <w:pPr>
        <w:pStyle w:val="FirstParagraph"/>
      </w:pPr>
      <w:r>
        <w:t xml:space="preserve">Argentina recauda el 21,3% de su PBI en impuestos — menos que Uruguay (23,6%), Costa Rica (23,5%) y la mayoría de los países de la OCDE (34% promedio). Pero no recauda poco porque no tenga impuestos sino porque no cobra los que tiene: se pierden USD 25.000 millones al año por evasión. Los subsidios energéticos cuestan USD 12.000 millones, y el 40% va al 20% más rico — una transferencia regresiva masiva.</w:t>
      </w:r>
    </w:p>
    <w:p>
      <w:pPr>
        <w:pStyle w:val="BodyText"/>
      </w:pPr>
      <w:r>
        <w:t xml:space="preserve">La deuda pública es ~60% del PBI, con USD 57.100 millones debidos al FMI. Las reservas internacionales (~USD 30.000M) dan un margen limitado ante shocks externos.</w:t>
      </w:r>
    </w:p>
    <w:p>
      <w:r>
        <w:pict>
          <v:rect style="width:0;height:1.5pt" o:hralign="center" o:hrstd="t" o:hr="t"/>
        </w:pict>
      </w:r>
    </w:p>
    <w:p>
      <w:pPr>
        <w:pStyle w:val="Heading2"/>
      </w:pPr>
      <w:bookmarkStart w:id="50" w:name="argentina-en-el-mundo"/>
      <w:r>
        <w:t xml:space="preserve">10. Argentina en el Mundo</w:t>
      </w:r>
      <w:bookmarkEnd w:id="50"/>
    </w:p>
    <w:p>
      <w:pPr>
        <w:pStyle w:val="Heading3"/>
      </w:pPr>
      <w:bookmarkStart w:id="51" w:name="los-números-9"/>
      <w:r>
        <w:t xml:space="preserve">Los números</w:t>
      </w:r>
      <w:bookmarkEnd w:id="51"/>
    </w:p>
    <w:tbl>
      <w:tblPr>
        <w:tblStyle w:val="Table"/>
        <w:tblW w:type="pct" w:w="5000.0"/>
        <w:tblLook w:firstRow="1"/>
      </w:tblPr>
      <w:tblGrid>
        <w:gridCol w:w="3350"/>
        <w:gridCol w:w="2132"/>
        <w:gridCol w:w="2436"/>
      </w:tblGrid>
      <w:tr>
        <w:trPr>
          <w:cnfStyle w:firstRow="1"/>
        </w:trPr>
        <w:tc>
          <w:tcPr>
            <w:tcBorders>
              <w:bottom w:val="single"/>
            </w:tcBorders>
            <w:vAlign w:val="bottom"/>
          </w:tcPr>
          <w:p>
            <w:pPr>
              <w:pStyle w:val="Compact"/>
              <w:jc w:val="left"/>
            </w:pPr>
            <w:r>
              <w:t xml:space="preserve">Indicador</w:t>
            </w:r>
          </w:p>
        </w:tc>
        <w:tc>
          <w:tcPr>
            <w:tcBorders>
              <w:bottom w:val="single"/>
            </w:tcBorders>
            <w:vAlign w:val="bottom"/>
          </w:tcPr>
          <w:p>
            <w:pPr>
              <w:pStyle w:val="Compact"/>
              <w:jc w:val="left"/>
            </w:pPr>
            <w:r>
              <w:t xml:space="preserve">Valor</w:t>
            </w:r>
          </w:p>
        </w:tc>
        <w:tc>
          <w:tcPr>
            <w:tcBorders>
              <w:bottom w:val="single"/>
            </w:tcBorders>
            <w:vAlign w:val="bottom"/>
          </w:tcPr>
          <w:p>
            <w:pPr>
              <w:pStyle w:val="Compact"/>
              <w:jc w:val="left"/>
            </w:pPr>
            <w:r>
              <w:t xml:space="preserve">Fuente</w:t>
            </w:r>
          </w:p>
        </w:tc>
      </w:tr>
      <w:tr>
        <w:tc>
          <w:p>
            <w:pPr>
              <w:pStyle w:val="Compact"/>
              <w:jc w:val="left"/>
            </w:pPr>
            <w:r>
              <w:t xml:space="preserve">Exportaciones totales</w:t>
            </w:r>
          </w:p>
        </w:tc>
        <w:tc>
          <w:p>
            <w:pPr>
              <w:pStyle w:val="Compact"/>
              <w:jc w:val="left"/>
            </w:pPr>
            <w:r>
              <w:t xml:space="preserve">USD 79.700M</w:t>
            </w:r>
          </w:p>
        </w:tc>
        <w:tc>
          <w:p>
            <w:pPr>
              <w:pStyle w:val="Compact"/>
              <w:jc w:val="left"/>
            </w:pPr>
            <w:r>
              <w:t xml:space="preserve">INDEC</w:t>
            </w:r>
          </w:p>
        </w:tc>
      </w:tr>
      <w:tr>
        <w:tc>
          <w:p>
            <w:pPr>
              <w:pStyle w:val="Compact"/>
              <w:jc w:val="left"/>
            </w:pPr>
            <w:r>
              <w:t xml:space="preserve">Composición: agroindustria</w:t>
            </w:r>
          </w:p>
        </w:tc>
        <w:tc>
          <w:p>
            <w:pPr>
              <w:pStyle w:val="Compact"/>
              <w:jc w:val="left"/>
            </w:pPr>
            <w:r>
              <w:t xml:space="preserve">58%</w:t>
            </w:r>
          </w:p>
        </w:tc>
        <w:tc>
          <w:p>
            <w:pPr>
              <w:pStyle w:val="Compact"/>
              <w:jc w:val="left"/>
            </w:pPr>
            <w:r>
              <w:t xml:space="preserve">INDEC</w:t>
            </w:r>
          </w:p>
        </w:tc>
      </w:tr>
      <w:tr>
        <w:tc>
          <w:p>
            <w:pPr>
              <w:pStyle w:val="Compact"/>
              <w:jc w:val="left"/>
            </w:pPr>
            <w:r>
              <w:t xml:space="preserve">Exportaciones tech/servicios</w:t>
            </w:r>
          </w:p>
        </w:tc>
        <w:tc>
          <w:p>
            <w:pPr>
              <w:pStyle w:val="Compact"/>
              <w:jc w:val="left"/>
            </w:pPr>
            <w:r>
              <w:t xml:space="preserve">~USD 9.000M</w:t>
            </w:r>
          </w:p>
        </w:tc>
        <w:tc>
          <w:p>
            <w:pPr>
              <w:pStyle w:val="Compact"/>
              <w:jc w:val="left"/>
            </w:pPr>
            <w:r>
              <w:t xml:space="preserve">CESSI/Min. Economía</w:t>
            </w:r>
          </w:p>
        </w:tc>
      </w:tr>
      <w:tr>
        <w:tc>
          <w:p>
            <w:pPr>
              <w:pStyle w:val="Compact"/>
              <w:jc w:val="left"/>
            </w:pPr>
            <w:r>
              <w:t xml:space="preserve">Inversión extranjera directa</w:t>
            </w:r>
          </w:p>
        </w:tc>
        <w:tc>
          <w:p>
            <w:pPr>
              <w:pStyle w:val="Compact"/>
              <w:jc w:val="left"/>
            </w:pPr>
            <w:r>
              <w:t xml:space="preserve">~USD 11.000M/año</w:t>
            </w:r>
          </w:p>
        </w:tc>
        <w:tc>
          <w:p>
            <w:pPr>
              <w:pStyle w:val="Compact"/>
              <w:jc w:val="left"/>
            </w:pPr>
            <w:r>
              <w:t xml:space="preserve">BCRA</w:t>
            </w:r>
          </w:p>
        </w:tc>
      </w:tr>
      <w:tr>
        <w:tc>
          <w:p>
            <w:pPr>
              <w:pStyle w:val="Compact"/>
              <w:jc w:val="left"/>
            </w:pPr>
            <w:r>
              <w:t xml:space="preserve">Unicornios tecnológicos</w:t>
            </w:r>
          </w:p>
        </w:tc>
        <w:tc>
          <w:p>
            <w:pPr>
              <w:pStyle w:val="Compact"/>
              <w:jc w:val="left"/>
            </w:pPr>
            <w:r>
              <w:t xml:space="preserve">11</w:t>
            </w:r>
          </w:p>
        </w:tc>
        <w:tc>
          <w:p>
            <w:pPr>
              <w:pStyle w:val="Compact"/>
              <w:jc w:val="left"/>
            </w:pPr>
            <w:r>
              <w:t xml:space="preserve">Crunchbase</w:t>
            </w:r>
          </w:p>
        </w:tc>
      </w:tr>
      <w:tr>
        <w:tc>
          <w:p>
            <w:pPr>
              <w:pStyle w:val="Compact"/>
              <w:jc w:val="left"/>
            </w:pPr>
            <w:r>
              <w:t xml:space="preserve">Desarrolladores de software</w:t>
            </w:r>
          </w:p>
        </w:tc>
        <w:tc>
          <w:p>
            <w:pPr>
              <w:pStyle w:val="Compact"/>
              <w:jc w:val="left"/>
            </w:pPr>
            <w:r>
              <w:t xml:space="preserve">115.000</w:t>
            </w:r>
          </w:p>
        </w:tc>
        <w:tc>
          <w:p>
            <w:pPr>
              <w:pStyle w:val="Compact"/>
              <w:jc w:val="left"/>
            </w:pPr>
            <w:r>
              <w:t xml:space="preserve">CESSI</w:t>
            </w:r>
          </w:p>
        </w:tc>
      </w:tr>
      <w:tr>
        <w:tc>
          <w:p>
            <w:pPr>
              <w:pStyle w:val="Compact"/>
              <w:jc w:val="left"/>
            </w:pPr>
            <w:r>
              <w:t xml:space="preserve">Ingresos por turismo</w:t>
            </w:r>
          </w:p>
        </w:tc>
        <w:tc>
          <w:p>
            <w:pPr>
              <w:pStyle w:val="Compact"/>
              <w:jc w:val="left"/>
            </w:pPr>
            <w:r>
              <w:t xml:space="preserve">~USD 5.000M/año</w:t>
            </w:r>
          </w:p>
        </w:tc>
        <w:tc>
          <w:p>
            <w:pPr>
              <w:pStyle w:val="Compact"/>
              <w:jc w:val="left"/>
            </w:pPr>
            <w:r>
              <w:t xml:space="preserve">Min. Turismo</w:t>
            </w:r>
          </w:p>
        </w:tc>
      </w:tr>
      <w:tr>
        <w:tc>
          <w:p>
            <w:pPr>
              <w:pStyle w:val="Compact"/>
              <w:jc w:val="left"/>
            </w:pPr>
            <w:r>
              <w:t xml:space="preserve">Producción de Vaca Muerta (gas)</w:t>
            </w:r>
          </w:p>
        </w:tc>
        <w:tc>
          <w:p>
            <w:pPr>
              <w:pStyle w:val="Compact"/>
              <w:jc w:val="left"/>
            </w:pPr>
            <w:r>
              <w:t xml:space="preserve">Creciente, 2da reserva shale mundial</w:t>
            </w:r>
          </w:p>
        </w:tc>
        <w:tc>
          <w:p>
            <w:pPr>
              <w:pStyle w:val="Compact"/>
              <w:jc w:val="left"/>
            </w:pPr>
            <w:r>
              <w:t xml:space="preserve">Secretaría Energía</w:t>
            </w:r>
          </w:p>
        </w:tc>
      </w:tr>
      <w:tr>
        <w:tc>
          <w:p>
            <w:pPr>
              <w:pStyle w:val="Compact"/>
              <w:jc w:val="left"/>
            </w:pPr>
            <w:r>
              <w:t xml:space="preserve">Reservas de litio</w:t>
            </w:r>
          </w:p>
        </w:tc>
        <w:tc>
          <w:p>
            <w:pPr>
              <w:pStyle w:val="Compact"/>
              <w:jc w:val="left"/>
            </w:pPr>
            <w:r>
              <w:t xml:space="preserve">3ras del mundo</w:t>
            </w:r>
          </w:p>
        </w:tc>
        <w:tc>
          <w:p>
            <w:pPr>
              <w:pStyle w:val="Compact"/>
              <w:jc w:val="left"/>
            </w:pPr>
            <w:r>
              <w:t xml:space="preserve">USGS</w:t>
            </w:r>
          </w:p>
        </w:tc>
      </w:tr>
    </w:tbl>
    <w:p>
      <w:pPr>
        <w:pStyle w:val="Heading3"/>
      </w:pPr>
      <w:bookmarkStart w:id="52" w:name="lo-que-significan-9"/>
      <w:r>
        <w:t xml:space="preserve">Lo que significan</w:t>
      </w:r>
      <w:bookmarkEnd w:id="52"/>
    </w:p>
    <w:p>
      <w:pPr>
        <w:pStyle w:val="FirstParagraph"/>
      </w:pPr>
      <w:r>
        <w:t xml:space="preserve">Argentina es una potencia alimentaria y energética con un ecosistema tech emergente. Exporta para 400 millones de personas, tiene la segunda reserva de shale gas del mundo, el tercer reservorio de litio, y 115.000 desarrolladores. Pero la estructura exportadora es vulnerable: demasiado dependiente de commodities sin valor agregado. La soja cruda se exporta a USD 350/ton; procesada como alimento funcional podría valer USD 3.000/ton.</w:t>
      </w:r>
    </w:p>
    <w:p>
      <w:r>
        <w:pict>
          <v:rect style="width:0;height:1.5pt" o:hralign="center" o:hrstd="t" o:hr="t"/>
        </w:pict>
      </w:r>
    </w:p>
    <w:p>
      <w:pPr>
        <w:pStyle w:val="Heading2"/>
      </w:pPr>
      <w:bookmarkStart w:id="53" w:name="comunidad-y-tejido-social"/>
      <w:r>
        <w:t xml:space="preserve">11. Comunidad y Tejido Social</w:t>
      </w:r>
      <w:bookmarkEnd w:id="53"/>
    </w:p>
    <w:p>
      <w:pPr>
        <w:pStyle w:val="Heading3"/>
      </w:pPr>
      <w:bookmarkStart w:id="54" w:name="los-números-10"/>
      <w:r>
        <w:t xml:space="preserve">Los números</w:t>
      </w:r>
      <w:bookmarkEnd w:id="54"/>
    </w:p>
    <w:tbl>
      <w:tblPr>
        <w:tblStyle w:val="Table"/>
        <w:tblW w:type="pct" w:w="0.0"/>
        <w:tblLook w:firstRow="1"/>
      </w:tblPr>
      <w:tblGrid/>
      <w:tr>
        <w:trPr>
          <w:cnfStyle w:firstRow="1"/>
        </w:trPr>
        <w:tc>
          <w:tcPr>
            <w:tcBorders>
              <w:bottom w:val="single"/>
            </w:tcBorders>
            <w:vAlign w:val="bottom"/>
          </w:tcPr>
          <w:p>
            <w:pPr>
              <w:pStyle w:val="Compact"/>
              <w:jc w:val="left"/>
            </w:pPr>
            <w:r>
              <w:t xml:space="preserve">Indicador</w:t>
            </w:r>
          </w:p>
        </w:tc>
        <w:tc>
          <w:tcPr>
            <w:tcBorders>
              <w:bottom w:val="single"/>
            </w:tcBorders>
            <w:vAlign w:val="bottom"/>
          </w:tcPr>
          <w:p>
            <w:pPr>
              <w:pStyle w:val="Compact"/>
              <w:jc w:val="left"/>
            </w:pPr>
            <w:r>
              <w:t xml:space="preserve">Valor</w:t>
            </w:r>
          </w:p>
        </w:tc>
        <w:tc>
          <w:tcPr>
            <w:tcBorders>
              <w:bottom w:val="single"/>
            </w:tcBorders>
            <w:vAlign w:val="bottom"/>
          </w:tcPr>
          <w:p>
            <w:pPr>
              <w:pStyle w:val="Compact"/>
              <w:jc w:val="left"/>
            </w:pPr>
            <w:r>
              <w:t xml:space="preserve">Fuente</w:t>
            </w:r>
          </w:p>
        </w:tc>
      </w:tr>
      <w:tr>
        <w:tc>
          <w:p>
            <w:pPr>
              <w:pStyle w:val="Compact"/>
              <w:jc w:val="left"/>
            </w:pPr>
            <w:r>
              <w:t xml:space="preserve">Industrias culturales (% PBI)</w:t>
            </w:r>
          </w:p>
        </w:tc>
        <w:tc>
          <w:p>
            <w:pPr>
              <w:pStyle w:val="Compact"/>
              <w:jc w:val="left"/>
            </w:pPr>
            <w:r>
              <w:t xml:space="preserve">2,6%</w:t>
            </w:r>
          </w:p>
        </w:tc>
        <w:tc>
          <w:p>
            <w:pPr>
              <w:pStyle w:val="Compact"/>
              <w:jc w:val="left"/>
            </w:pPr>
            <w:r>
              <w:t xml:space="preserve">SInCA</w:t>
            </w:r>
          </w:p>
        </w:tc>
      </w:tr>
      <w:tr>
        <w:tc>
          <w:p>
            <w:pPr>
              <w:pStyle w:val="Compact"/>
              <w:jc w:val="left"/>
            </w:pPr>
            <w:r>
              <w:t xml:space="preserve">Personas con al menos una actividad cultural/mes</w:t>
            </w:r>
          </w:p>
        </w:tc>
        <w:tc>
          <w:p>
            <w:pPr>
              <w:pStyle w:val="Compact"/>
              <w:jc w:val="left"/>
            </w:pPr>
            <w:r>
              <w:t xml:space="preserve">~45%</w:t>
            </w:r>
          </w:p>
        </w:tc>
        <w:tc>
          <w:p>
            <w:pPr>
              <w:pStyle w:val="Compact"/>
              <w:jc w:val="left"/>
            </w:pPr>
            <w:r>
              <w:t xml:space="preserve">SInCA</w:t>
            </w:r>
          </w:p>
        </w:tc>
      </w:tr>
      <w:tr>
        <w:tc>
          <w:p>
            <w:pPr>
              <w:pStyle w:val="Compact"/>
              <w:jc w:val="left"/>
            </w:pPr>
            <w:r>
              <w:t xml:space="preserve">Pueblos indígenas reconocidos</w:t>
            </w:r>
          </w:p>
        </w:tc>
        <w:tc>
          <w:p>
            <w:pPr>
              <w:pStyle w:val="Compact"/>
              <w:jc w:val="left"/>
            </w:pPr>
            <w:r>
              <w:t xml:space="preserve">48</w:t>
            </w:r>
          </w:p>
        </w:tc>
        <w:tc>
          <w:p>
            <w:pPr>
              <w:pStyle w:val="Compact"/>
              <w:jc w:val="left"/>
            </w:pPr>
            <w:r>
              <w:t xml:space="preserve">INAI</w:t>
            </w:r>
          </w:p>
        </w:tc>
      </w:tr>
      <w:tr>
        <w:tc>
          <w:p>
            <w:pPr>
              <w:pStyle w:val="Compact"/>
              <w:jc w:val="left"/>
            </w:pPr>
            <w:r>
              <w:t xml:space="preserve">Lenguas indígenas activas</w:t>
            </w:r>
          </w:p>
        </w:tc>
        <w:tc>
          <w:p>
            <w:pPr>
              <w:pStyle w:val="Compact"/>
              <w:jc w:val="left"/>
            </w:pPr>
            <w:r>
              <w:t xml:space="preserve">~40 (12 en riesgo de extinción)</w:t>
            </w:r>
          </w:p>
        </w:tc>
        <w:tc>
          <w:p>
            <w:pPr>
              <w:pStyle w:val="Compact"/>
              <w:jc w:val="left"/>
            </w:pPr>
            <w:r>
              <w:t xml:space="preserve">UNESCO</w:t>
            </w:r>
          </w:p>
        </w:tc>
      </w:tr>
      <w:tr>
        <w:tc>
          <w:p>
            <w:pPr>
              <w:pStyle w:val="Compact"/>
              <w:jc w:val="left"/>
            </w:pPr>
            <w:r>
              <w:t xml:space="preserve">Clubes de barrio registrados</w:t>
            </w:r>
          </w:p>
        </w:tc>
        <w:tc>
          <w:p>
            <w:pPr>
              <w:pStyle w:val="Compact"/>
              <w:jc w:val="left"/>
            </w:pPr>
            <w:r>
              <w:t xml:space="preserve">~10.000</w:t>
            </w:r>
          </w:p>
        </w:tc>
        <w:tc>
          <w:p>
            <w:pPr>
              <w:pStyle w:val="Compact"/>
              <w:jc w:val="left"/>
            </w:pPr>
            <w:r>
              <w:t xml:space="preserve">—</w:t>
            </w:r>
          </w:p>
        </w:tc>
      </w:tr>
      <w:tr>
        <w:tc>
          <w:p>
            <w:pPr>
              <w:pStyle w:val="Compact"/>
              <w:jc w:val="left"/>
            </w:pPr>
            <w:r>
              <w:t xml:space="preserve">Organizaciones de la sociedad civil</w:t>
            </w:r>
          </w:p>
        </w:tc>
        <w:tc>
          <w:p>
            <w:pPr>
              <w:pStyle w:val="Compact"/>
              <w:jc w:val="left"/>
            </w:pPr>
            <w:r>
              <w:t xml:space="preserve">~100.000</w:t>
            </w:r>
          </w:p>
        </w:tc>
        <w:tc>
          <w:p>
            <w:pPr>
              <w:pStyle w:val="Compact"/>
              <w:jc w:val="left"/>
            </w:pPr>
            <w:r>
              <w:t xml:space="preserve">CENOC</w:t>
            </w:r>
          </w:p>
        </w:tc>
      </w:tr>
      <w:tr>
        <w:tc>
          <w:p>
            <w:pPr>
              <w:pStyle w:val="Compact"/>
              <w:jc w:val="left"/>
            </w:pPr>
            <w:r>
              <w:t xml:space="preserve">Hogares unipersonales (mayores de 65)</w:t>
            </w:r>
          </w:p>
        </w:tc>
        <w:tc>
          <w:p>
            <w:pPr>
              <w:pStyle w:val="Compact"/>
              <w:jc w:val="left"/>
            </w:pPr>
            <w:r>
              <w:t xml:space="preserve">Creciente</w:t>
            </w:r>
          </w:p>
        </w:tc>
        <w:tc>
          <w:p>
            <w:pPr>
              <w:pStyle w:val="Compact"/>
              <w:jc w:val="left"/>
            </w:pPr>
            <w:r>
              <w:t xml:space="preserve">INDEC</w:t>
            </w:r>
          </w:p>
        </w:tc>
      </w:tr>
      <w:tr>
        <w:tc>
          <w:p>
            <w:pPr>
              <w:pStyle w:val="Compact"/>
              <w:jc w:val="left"/>
            </w:pPr>
            <w:r>
              <w:t xml:space="preserve">Acceso a internet fijo</w:t>
            </w:r>
          </w:p>
        </w:tc>
        <w:tc>
          <w:p>
            <w:pPr>
              <w:pStyle w:val="Compact"/>
              <w:jc w:val="left"/>
            </w:pPr>
            <w:r>
              <w:t xml:space="preserve">~70% hogares</w:t>
            </w:r>
          </w:p>
        </w:tc>
        <w:tc>
          <w:p>
            <w:pPr>
              <w:pStyle w:val="Compact"/>
              <w:jc w:val="left"/>
            </w:pPr>
            <w:r>
              <w:t xml:space="preserve">ENACOM</w:t>
            </w:r>
          </w:p>
        </w:tc>
      </w:tr>
      <w:tr>
        <w:tc>
          <w:p>
            <w:pPr>
              <w:pStyle w:val="Compact"/>
              <w:jc w:val="left"/>
            </w:pPr>
            <w:r>
              <w:t xml:space="preserve">Brecha digital (urbana/rural)</w:t>
            </w:r>
          </w:p>
        </w:tc>
        <w:tc>
          <w:p>
            <w:pPr>
              <w:pStyle w:val="Compact"/>
              <w:jc w:val="left"/>
            </w:pPr>
            <w:r>
              <w:t xml:space="preserve">&gt;30 pp de diferencia</w:t>
            </w:r>
          </w:p>
        </w:tc>
        <w:tc>
          <w:p>
            <w:pPr>
              <w:pStyle w:val="Compact"/>
              <w:jc w:val="left"/>
            </w:pPr>
            <w:r>
              <w:t xml:space="preserve">ENACOM</w:t>
            </w:r>
          </w:p>
        </w:tc>
      </w:tr>
    </w:tbl>
    <w:p>
      <w:pPr>
        <w:pStyle w:val="Heading3"/>
      </w:pPr>
      <w:bookmarkStart w:id="55" w:name="lo-que-significan-10"/>
      <w:r>
        <w:t xml:space="preserve">Lo que significan</w:t>
      </w:r>
      <w:bookmarkEnd w:id="55"/>
    </w:p>
    <w:p>
      <w:pPr>
        <w:pStyle w:val="FirstParagraph"/>
      </w:pPr>
      <w:r>
        <w:t xml:space="preserve">Argentina tiene una vida cultural y asociativa rica: 100.000 organizaciones de la sociedad civil, 10.000 clubes de barrio, 48 pueblos indígenas con sus lenguas y culturas. Pero la brecha digital excluye al 30% de los hogares rurales. La soledad — especialmente de los adultos mayores — crece sin que nadie la mida oficialmente. Y 12 lenguas indígenas están en riesgo de desaparecer para siempre.</w:t>
      </w:r>
    </w:p>
    <w:p>
      <w:r>
        <w:pict>
          <v:rect style="width:0;height:1.5pt" o:hralign="center" o:hrstd="t" o:hr="t"/>
        </w:pict>
      </w:r>
    </w:p>
    <w:p>
      <w:pPr>
        <w:pStyle w:val="Heading2"/>
      </w:pPr>
      <w:bookmarkStart w:id="56" w:name="síntesis-las-10-urgencias-de-argentina"/>
      <w:r>
        <w:t xml:space="preserve">12. Síntesis: Las 10 Urgencias de Argentina</w:t>
      </w:r>
      <w:bookmarkEnd w:id="56"/>
    </w:p>
    <w:p>
      <w:pPr>
        <w:numPr>
          <w:ilvl w:val="0"/>
          <w:numId w:val="1001"/>
        </w:numPr>
        <w:pStyle w:val="Compact"/>
      </w:pPr>
      <w:r>
        <w:rPr>
          <w:b/>
        </w:rPr>
        <w:t xml:space="preserve">15 millones de pobres</w:t>
      </w:r>
      <w:r>
        <w:t xml:space="preserve"> </w:t>
      </w:r>
      <w:r>
        <w:t xml:space="preserve">(31,6%), de los cuales 3,2 millones no comen lo suficiente</w:t>
      </w:r>
    </w:p>
    <w:p>
      <w:pPr>
        <w:numPr>
          <w:ilvl w:val="0"/>
          <w:numId w:val="1001"/>
        </w:numPr>
        <w:pStyle w:val="Compact"/>
      </w:pPr>
      <w:r>
        <w:rPr>
          <w:b/>
        </w:rPr>
        <w:t xml:space="preserve">5 millones en barrios populares</w:t>
      </w:r>
      <w:r>
        <w:t xml:space="preserve"> </w:t>
      </w:r>
      <w:r>
        <w:t xml:space="preserve">sin agua ni cloacas</w:t>
      </w:r>
    </w:p>
    <w:p>
      <w:pPr>
        <w:numPr>
          <w:ilvl w:val="0"/>
          <w:numId w:val="1001"/>
        </w:numPr>
        <w:pStyle w:val="Compact"/>
      </w:pPr>
      <w:r>
        <w:rPr>
          <w:b/>
        </w:rPr>
        <w:t xml:space="preserve">8 millones de trabajadores informales</w:t>
      </w:r>
      <w:r>
        <w:t xml:space="preserve"> </w:t>
      </w:r>
      <w:r>
        <w:t xml:space="preserve">invisibles para el Estado</w:t>
      </w:r>
    </w:p>
    <w:p>
      <w:pPr>
        <w:numPr>
          <w:ilvl w:val="0"/>
          <w:numId w:val="1001"/>
        </w:numPr>
        <w:pStyle w:val="Compact"/>
      </w:pPr>
      <w:r>
        <w:rPr>
          <w:b/>
        </w:rPr>
        <w:t xml:space="preserve">600.000 niños sin educación temprana</w:t>
      </w:r>
      <w:r>
        <w:t xml:space="preserve"> </w:t>
      </w:r>
      <w:r>
        <w:t xml:space="preserve">en los años más críticos del desarrollo cerebral</w:t>
      </w:r>
    </w:p>
    <w:p>
      <w:pPr>
        <w:numPr>
          <w:ilvl w:val="0"/>
          <w:numId w:val="1001"/>
        </w:numPr>
        <w:pStyle w:val="Compact"/>
      </w:pPr>
      <w:r>
        <w:rPr>
          <w:b/>
        </w:rPr>
        <w:t xml:space="preserve">17 millones sin cobertura de salud formal</w:t>
      </w:r>
      <w:r>
        <w:t xml:space="preserve">, con un sistema fragmentado e inequitativo</w:t>
      </w:r>
    </w:p>
    <w:p>
      <w:pPr>
        <w:numPr>
          <w:ilvl w:val="0"/>
          <w:numId w:val="1001"/>
        </w:numPr>
        <w:pStyle w:val="Compact"/>
      </w:pPr>
      <w:r>
        <w:rPr>
          <w:b/>
        </w:rPr>
        <w:t xml:space="preserve">210.000 hectáreas de bosque destruidas cada año</w:t>
      </w:r>
      <w:r>
        <w:t xml:space="preserve">, con una matriz energética 82% fósil</w:t>
      </w:r>
    </w:p>
    <w:p>
      <w:pPr>
        <w:numPr>
          <w:ilvl w:val="0"/>
          <w:numId w:val="1001"/>
        </w:numPr>
        <w:pStyle w:val="Compact"/>
      </w:pPr>
      <w:r>
        <w:rPr>
          <w:b/>
        </w:rPr>
        <w:t xml:space="preserve">Presupuesto educativo al 0,73% del PBI</w:t>
      </w:r>
      <w:r>
        <w:t xml:space="preserve"> </w:t>
      </w:r>
      <w:r>
        <w:t xml:space="preserve">cuando la ley exige el 6%</w:t>
      </w:r>
    </w:p>
    <w:p>
      <w:pPr>
        <w:numPr>
          <w:ilvl w:val="0"/>
          <w:numId w:val="1001"/>
        </w:numPr>
        <w:pStyle w:val="Compact"/>
      </w:pPr>
      <w:r>
        <w:rPr>
          <w:b/>
        </w:rPr>
        <w:t xml:space="preserve">USD 25.000 millones perdidos por evasión fiscal</w:t>
      </w:r>
      <w:r>
        <w:t xml:space="preserve"> </w:t>
      </w:r>
      <w:r>
        <w:t xml:space="preserve">cada año</w:t>
      </w:r>
    </w:p>
    <w:p>
      <w:pPr>
        <w:numPr>
          <w:ilvl w:val="0"/>
          <w:numId w:val="1001"/>
        </w:numPr>
        <w:pStyle w:val="Compact"/>
      </w:pPr>
      <w:r>
        <w:rPr>
          <w:b/>
        </w:rPr>
        <w:t xml:space="preserve">247 femicidios anuales</w:t>
      </w:r>
      <w:r>
        <w:t xml:space="preserve"> </w:t>
      </w:r>
      <w:r>
        <w:t xml:space="preserve">y un sistema penitenciario que produce más crimen del que resuelve</w:t>
      </w:r>
    </w:p>
    <w:p>
      <w:pPr>
        <w:numPr>
          <w:ilvl w:val="0"/>
          <w:numId w:val="1001"/>
        </w:numPr>
        <w:pStyle w:val="Compact"/>
      </w:pPr>
      <w:r>
        <w:rPr>
          <w:b/>
        </w:rPr>
        <w:t xml:space="preserve">54% de los empleos en riesgo por automatización</w:t>
      </w:r>
      <w:r>
        <w:t xml:space="preserve"> </w:t>
      </w:r>
      <w:r>
        <w:t xml:space="preserve">sin plan de transición</w:t>
      </w:r>
    </w:p>
    <w:p>
      <w:r>
        <w:pict>
          <v:rect style="width:0;height:1.5pt" o:hralign="center" o:hrstd="t" o:hr="t"/>
        </w:pict>
      </w:r>
    </w:p>
    <w:p>
      <w:pPr>
        <w:pStyle w:val="Heading2"/>
      </w:pPr>
      <w:bookmarkStart w:id="57" w:name="lo-que-argentina-tiene-a-favor"/>
      <w:r>
        <w:t xml:space="preserve">13. Lo que Argentina tiene a favor</w:t>
      </w:r>
      <w:bookmarkEnd w:id="57"/>
    </w:p>
    <w:p>
      <w:pPr>
        <w:pStyle w:val="FirstParagraph"/>
      </w:pPr>
      <w:r>
        <w:t xml:space="preserve">Pero no todo es oscuridad. Argentina también tiene:</w:t>
      </w:r>
    </w:p>
    <w:p>
      <w:pPr>
        <w:numPr>
          <w:ilvl w:val="0"/>
          <w:numId w:val="1002"/>
        </w:numPr>
        <w:pStyle w:val="Compact"/>
      </w:pPr>
      <w:r>
        <w:rPr>
          <w:b/>
        </w:rPr>
        <w:t xml:space="preserve">Tierra fértil y agua dulce</w:t>
      </w:r>
      <w:r>
        <w:t xml:space="preserve"> </w:t>
      </w:r>
      <w:r>
        <w:t xml:space="preserve">— uno de los mayores reservorios agrícolas del mundo</w:t>
      </w:r>
    </w:p>
    <w:p>
      <w:pPr>
        <w:numPr>
          <w:ilvl w:val="0"/>
          <w:numId w:val="1002"/>
        </w:numPr>
        <w:pStyle w:val="Compact"/>
      </w:pPr>
      <w:r>
        <w:rPr>
          <w:b/>
        </w:rPr>
        <w:t xml:space="preserve">Sol, viento y litio</w:t>
      </w:r>
      <w:r>
        <w:t xml:space="preserve"> </w:t>
      </w:r>
      <w:r>
        <w:t xml:space="preserve">— la trifecta de la transición energética</w:t>
      </w:r>
    </w:p>
    <w:p>
      <w:pPr>
        <w:numPr>
          <w:ilvl w:val="0"/>
          <w:numId w:val="1002"/>
        </w:numPr>
        <w:pStyle w:val="Compact"/>
      </w:pPr>
      <w:r>
        <w:rPr>
          <w:b/>
        </w:rPr>
        <w:t xml:space="preserve">Gente formada</w:t>
      </w:r>
      <w:r>
        <w:t xml:space="preserve"> </w:t>
      </w:r>
      <w:r>
        <w:t xml:space="preserve">— 4 médicos por cada 1.000 habitantes, 115.000 desarrolladores, una tradición científica con 3 Nobel</w:t>
      </w:r>
    </w:p>
    <w:p>
      <w:pPr>
        <w:numPr>
          <w:ilvl w:val="0"/>
          <w:numId w:val="1002"/>
        </w:numPr>
        <w:pStyle w:val="Compact"/>
      </w:pPr>
      <w:r>
        <w:rPr>
          <w:b/>
        </w:rPr>
        <w:t xml:space="preserve">Tradición solidaria</w:t>
      </w:r>
      <w:r>
        <w:t xml:space="preserve"> </w:t>
      </w:r>
      <w:r>
        <w:t xml:space="preserve">— cooperativas, organizaciones territoriales, voluntariado, la respuesta comunitaria a cada crisis</w:t>
      </w:r>
    </w:p>
    <w:p>
      <w:pPr>
        <w:numPr>
          <w:ilvl w:val="0"/>
          <w:numId w:val="1002"/>
        </w:numPr>
        <w:pStyle w:val="Compact"/>
      </w:pPr>
      <w:r>
        <w:rPr>
          <w:b/>
        </w:rPr>
        <w:t xml:space="preserve">Superávit comercial</w:t>
      </w:r>
      <w:r>
        <w:t xml:space="preserve"> </w:t>
      </w:r>
      <w:r>
        <w:t xml:space="preserve">— USD 18.900M: Argentina gana más de lo que gasta en el exterior</w:t>
      </w:r>
    </w:p>
    <w:p>
      <w:pPr>
        <w:numPr>
          <w:ilvl w:val="0"/>
          <w:numId w:val="1002"/>
        </w:numPr>
        <w:pStyle w:val="Compact"/>
      </w:pPr>
      <w:r>
        <w:rPr>
          <w:b/>
        </w:rPr>
        <w:t xml:space="preserve">Infraestructura digital base</w:t>
      </w:r>
      <w:r>
        <w:t xml:space="preserve"> </w:t>
      </w:r>
      <w:r>
        <w:t xml:space="preserve">— 21 millones de usuarios en Mi Argentina, DNI digital, facturación electrónica</w:t>
      </w:r>
    </w:p>
    <w:p>
      <w:pPr>
        <w:numPr>
          <w:ilvl w:val="0"/>
          <w:numId w:val="1002"/>
        </w:numPr>
        <w:pStyle w:val="Compact"/>
      </w:pPr>
      <w:r>
        <w:rPr>
          <w:b/>
        </w:rPr>
        <w:t xml:space="preserve">Una sociedad civil activa</w:t>
      </w:r>
      <w:r>
        <w:t xml:space="preserve"> </w:t>
      </w:r>
      <w:r>
        <w:t xml:space="preserve">— 100.000 organizaciones, movimientos barriales, universidad pública, periodismo de investigación</w:t>
      </w:r>
    </w:p>
    <w:p>
      <w:pPr>
        <w:numPr>
          <w:ilvl w:val="0"/>
          <w:numId w:val="1002"/>
        </w:numPr>
        <w:pStyle w:val="Compact"/>
      </w:pPr>
      <w:r>
        <w:rPr>
          <w:b/>
        </w:rPr>
        <w:t xml:space="preserve">Energía</w:t>
      </w:r>
      <w:r>
        <w:t xml:space="preserve"> </w:t>
      </w:r>
      <w:r>
        <w:t xml:space="preserve">— Vaca Muerta como puente, renovables como destino</w:t>
      </w:r>
    </w:p>
    <w:p>
      <w:pPr>
        <w:numPr>
          <w:ilvl w:val="0"/>
          <w:numId w:val="1002"/>
        </w:numPr>
        <w:pStyle w:val="Compact"/>
      </w:pPr>
      <w:r>
        <w:rPr>
          <w:b/>
        </w:rPr>
        <w:t xml:space="preserve">Diversidad cultural</w:t>
      </w:r>
      <w:r>
        <w:t xml:space="preserve"> </w:t>
      </w:r>
      <w:r>
        <w:t xml:space="preserve">— 48 pueblos originarios, corrientes migratorias de todo el mundo, una identidad que es mezcla y creatividad</w:t>
      </w:r>
    </w:p>
    <w:p>
      <w:pPr>
        <w:pStyle w:val="FirstParagraph"/>
      </w:pPr>
      <w:r>
        <w:rPr>
          <w:b/>
        </w:rPr>
        <w:t xml:space="preserve">Argentina no es un país pobre al que le faltan recursos. Es un país rico al que le falta un plan.</w:t>
      </w:r>
    </w:p>
    <w:p>
      <w:pPr>
        <w:pStyle w:val="BodyText"/>
      </w:pPr>
      <w:r>
        <w:t xml:space="preserve">Este plan es Argentina Próspera.</w:t>
      </w:r>
    </w:p>
    <w:p>
      <w:r>
        <w:pict>
          <v:rect style="width:0;height:1.5pt" o:hralign="center" o:hrstd="t" o:hr="t"/>
        </w:pict>
      </w:r>
    </w:p>
    <w:p>
      <w:pPr>
        <w:pStyle w:val="FirstParagraph"/>
      </w:pPr>
      <w:r>
        <w:rPr>
          <w:i/>
        </w:rPr>
        <w:t xml:space="preserve">Documento creado: Febrero 2026</w:t>
      </w:r>
      <w:r>
        <w:t xml:space="preserve"> </w:t>
      </w:r>
      <w:r>
        <w:rPr>
          <w:i/>
        </w:rPr>
        <w:t xml:space="preserve">Proyecto Argentina Próspera 2027-2031</w:t>
      </w:r>
      <w:r>
        <w:t xml:space="preserve"> </w:t>
      </w:r>
      <w:r>
        <w:rPr>
          <w:i/>
        </w:rPr>
        <w:t xml:space="preserve">Fuentes: INDEC, CEPAL, BID, OMS, OPS, FMI, Banco Mundial, AFIP, RENABAP, Min. de Salud, Min. de Educación, Min. de Ambiente, Min. de Seguridad, Min. de Economía, CONICET, ENACOM, UNESCO, Transparency International, SNEEP, CESSI, INAES, SInCA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2026-02-28T20:10:35Z</dcterms:created>
  <dcterms:modified xsi:type="dcterms:W3CDTF">2026-02-28T20:10:35Z</dcterms:modified>
</cp:coreProperties>
</file>

<file path=docProps/custom.xml><?xml version="1.0" encoding="utf-8"?>
<Properties xmlns="http://schemas.openxmlformats.org/officeDocument/2006/custom-properties" xmlns:vt="http://schemas.openxmlformats.org/officeDocument/2006/docPropsVTypes"/>
</file>