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vivienda-y-hábitat-digno"/>
      <w:r>
        <w:t xml:space="preserve">Vivienda y Hábitat Digno</w:t>
      </w:r>
      <w:bookmarkEnd w:id="20"/>
    </w:p>
    <w:p>
      <w:pPr>
        <w:pStyle w:val="Heading2"/>
      </w:pPr>
      <w:bookmarkStart w:id="21" w:name="X354ac8942b0a522b2838bf3c1f6f2c297454879"/>
      <w:r>
        <w:t xml:space="preserve">Argentina Próspera 2027-2031 — Documento Sectorial 03</w:t>
      </w:r>
      <w:bookmarkEnd w:id="21"/>
    </w:p>
    <w:p>
      <w:r>
        <w:pict>
          <v:rect style="width:0;height:1.5pt" o:hralign="center" o:hrstd="t" o:hr="t"/>
        </w:pict>
      </w:r>
    </w:p>
    <w:p>
      <w:pPr>
        <w:pStyle w:val="Heading2"/>
      </w:pPr>
      <w:bookmarkStart w:id="22" w:name="X23e0151365eb81b159b86a97996c169f7d6769b"/>
      <w:r>
        <w:t xml:space="preserve">La Situación Hoy: Lo que los números dicen</w:t>
      </w:r>
      <w:bookmarkEnd w:id="22"/>
    </w:p>
    <w:p>
      <w:pPr>
        <w:pStyle w:val="FirstParagraph"/>
      </w:pPr>
      <w:r>
        <w:t xml:space="preserve">Argentina tiene un déficit habitacional de</w:t>
      </w:r>
      <w:r>
        <w:t xml:space="preserve"> </w:t>
      </w:r>
      <w:r>
        <w:rPr>
          <w:b/>
        </w:rPr>
        <w:t xml:space="preserve">3,24 millones de viviendas</w:t>
      </w:r>
      <w:r>
        <w:t xml:space="preserve">. De esas, 1,15 millones son hogares que directamente no tienen dónde vivir (déficit cuantitativo) y 2,09 millones son casas que existen pero son precarias (déficit cualitativo).</w:t>
      </w:r>
    </w:p>
    <w:p>
      <w:pPr>
        <w:pStyle w:val="BodyText"/>
      </w:pPr>
      <w:r>
        <w:t xml:space="preserve">Hay</w:t>
      </w:r>
      <w:r>
        <w:t xml:space="preserve"> </w:t>
      </w:r>
      <w:r>
        <w:rPr>
          <w:b/>
        </w:rPr>
        <w:t xml:space="preserve">6.467 barrios populares</w:t>
      </w:r>
      <w:r>
        <w:t xml:space="preserve"> </w:t>
      </w:r>
      <w:r>
        <w:t xml:space="preserve">registrados en el RENABAP, donde viven más de</w:t>
      </w:r>
      <w:r>
        <w:t xml:space="preserve"> </w:t>
      </w:r>
      <w:r>
        <w:rPr>
          <w:b/>
        </w:rPr>
        <w:t xml:space="preserve">5 millones de personas</w:t>
      </w:r>
      <w:r>
        <w:t xml:space="preserve"> </w:t>
      </w:r>
      <w:r>
        <w:t xml:space="preserve">— 1,2 millones de familias. Esos barrios ocupan 684 km², tres veces la superficie de la Ciudad de Buenos Aires. El 81% son asentamientos, el 17% villas, el resto conjuntos habitacionales deteriorados.</w:t>
      </w:r>
    </w:p>
    <w:p>
      <w:pPr>
        <w:pStyle w:val="BodyText"/>
      </w:pPr>
      <w:r>
        <w:t xml:space="preserve">Las condiciones son extremas: solo el</w:t>
      </w:r>
      <w:r>
        <w:t xml:space="preserve"> </w:t>
      </w:r>
      <w:r>
        <w:rPr>
          <w:b/>
        </w:rPr>
        <w:t xml:space="preserve">11,6% tiene agua potable por red</w:t>
      </w:r>
      <w:r>
        <w:t xml:space="preserve"> </w:t>
      </w:r>
      <w:r>
        <w:t xml:space="preserve">y el</w:t>
      </w:r>
      <w:r>
        <w:t xml:space="preserve"> </w:t>
      </w:r>
      <w:r>
        <w:rPr>
          <w:b/>
        </w:rPr>
        <w:t xml:space="preserve">2,5% tiene cloacas formales</w:t>
      </w:r>
      <w:r>
        <w:t xml:space="preserve">. El 57% se conecta al agua de manera irregular. El 66% desagota a pozo negro.</w:t>
      </w:r>
    </w:p>
    <w:p>
      <w:pPr>
        <w:pStyle w:val="BodyText"/>
      </w:pPr>
      <w:r>
        <w:t xml:space="preserve">La pobreza alcanza al</w:t>
      </w:r>
      <w:r>
        <w:t xml:space="preserve"> </w:t>
      </w:r>
      <w:r>
        <w:rPr>
          <w:b/>
        </w:rPr>
        <w:t xml:space="preserve">38,1%</w:t>
      </w:r>
      <w:r>
        <w:t xml:space="preserve"> </w:t>
      </w:r>
      <w:r>
        <w:t xml:space="preserve">de la población (18 millones de personas) y la indigencia al 8,2%. Entre los niños, la pobreza trepa al</w:t>
      </w:r>
      <w:r>
        <w:t xml:space="preserve"> </w:t>
      </w:r>
      <w:r>
        <w:rPr>
          <w:b/>
        </w:rPr>
        <w:t xml:space="preserve">52,7%</w:t>
      </w:r>
      <w:r>
        <w:t xml:space="preserve"> </w:t>
      </w:r>
      <w:r>
        <w:t xml:space="preserve">— más de la mitad de los chicos argentinos son pobres.</w:t>
      </w:r>
    </w:p>
    <w:p>
      <w:pPr>
        <w:pStyle w:val="BodyText"/>
      </w:pPr>
      <w:r>
        <w:t xml:space="preserve">El gasto público en vivienda se redujo un</w:t>
      </w:r>
      <w:r>
        <w:t xml:space="preserve"> </w:t>
      </w:r>
      <w:r>
        <w:rPr>
          <w:b/>
        </w:rPr>
        <w:t xml:space="preserve">84% en 2024</w:t>
      </w:r>
      <w:r>
        <w:t xml:space="preserve">. Solo el 7% de las viviendas nuevas fueron construidas por el Estado en los últimos 15 años. PROCREAR está en proceso de liquidación.</w:t>
      </w:r>
    </w:p>
    <w:p>
      <w:pPr>
        <w:pStyle w:val="BodyText"/>
      </w:pPr>
      <w:r>
        <w:t xml:space="preserve">Provincia de Buenos Aires concentra 2.065 barrios populares — un tercio del total. La Matanza tiene 163 barrios con 65.132 familias. Salta tiene 639 barrios, Chaco 442.</w:t>
      </w:r>
    </w:p>
    <w:p>
      <w:pPr>
        <w:pStyle w:val="BodyText"/>
      </w:pPr>
      <w:r>
        <w:t xml:space="preserve">Estos números no son estadísticas. Son personas que se levantan cada día sin agua limpia, sin cloacas, sin seguridad de tenencia, con sus hijos creciendo en el barro.</w:t>
      </w:r>
    </w:p>
    <w:p>
      <w:r>
        <w:pict>
          <v:rect style="width:0;height:1.5pt" o:hralign="center" o:hrstd="t" o:hr="t"/>
        </w:pict>
      </w:r>
    </w:p>
    <w:p>
      <w:pPr>
        <w:pStyle w:val="Heading2"/>
      </w:pPr>
      <w:bookmarkStart w:id="23" w:name="Xe918990c227cca39b21eba2810bab0d6d3efcb6"/>
      <w:r>
        <w:t xml:space="preserve">Cinco Políticas para Transformar la Vivienda en Argentina</w:t>
      </w:r>
      <w:bookmarkEnd w:id="23"/>
    </w:p>
    <w:p>
      <w:pPr>
        <w:pStyle w:val="FirstParagraph"/>
      </w:pPr>
      <w:r>
        <w:t xml:space="preserve">Cada política fue elegida porque cumple cinco criterios: tiene precedente internacional exitoso, es adaptable a la realidad argentina, se puede costear y financiar, genera efectos multiplicadores más allá de la vivienda, y dialoga con las ideas más innovadoras del pensamiento contemporáneo sobre desarrollo.</w:t>
      </w:r>
    </w:p>
    <w:p>
      <w:r>
        <w:pict>
          <v:rect style="width:0;height:1.5pt" o:hralign="center" o:hrstd="t" o:hr="t"/>
        </w:pict>
      </w:r>
    </w:p>
    <w:p>
      <w:pPr>
        <w:pStyle w:val="Heading2"/>
      </w:pPr>
      <w:bookmarkStart w:id="24" w:name="Xd1592581b723dae59a9716e3d0016b44d00100a"/>
      <w:r>
        <w:t xml:space="preserve">Política 1: Cooperativas de Hábitat con Ayuda Mutua</w:t>
      </w:r>
      <w:bookmarkEnd w:id="24"/>
    </w:p>
    <w:p>
      <w:pPr>
        <w:pStyle w:val="FirstParagraph"/>
      </w:pPr>
      <w:r>
        <w:rPr>
          <w:i/>
        </w:rPr>
        <w:t xml:space="preserve">Inspirada en FUCVAM (Uruguay) y las cooperativas de vivienda argentinas existentes</w:t>
      </w:r>
    </w:p>
    <w:p>
      <w:pPr>
        <w:pStyle w:val="Heading3"/>
      </w:pPr>
      <w:bookmarkStart w:id="25" w:name="qué-es"/>
      <w:r>
        <w:t xml:space="preserve">Qué es</w:t>
      </w:r>
      <w:bookmarkEnd w:id="25"/>
    </w:p>
    <w:p>
      <w:pPr>
        <w:pStyle w:val="FirstParagraph"/>
      </w:pPr>
      <w:r>
        <w:t xml:space="preserve">Un programa nacional que financia y acompaña la creación de cooperativas de vivienda por ayuda mutua: grupos de 20 a 50 familias que, organizadas colectivamente, diseñan, construyen y habitan juntas sus barrios. Cada familia aporta horas de trabajo (en Uruguay son 21 horas semanales), lo que reduce costos un 15-20% y genera tejido social desde el primer ladrillo.</w:t>
      </w:r>
    </w:p>
    <w:p>
      <w:pPr>
        <w:pStyle w:val="BodyText"/>
      </w:pPr>
      <w:r>
        <w:t xml:space="preserve">La propiedad es colectiva: las familias no son dueñas individuales sino miembros de una cooperativa que es dueña del conjunto, lo que impide la especulación y asegura vivienda permanente.</w:t>
      </w:r>
    </w:p>
    <w:p>
      <w:pPr>
        <w:pStyle w:val="Heading3"/>
      </w:pPr>
      <w:bookmarkStart w:id="26" w:name="por-qué-esta-política"/>
      <w:r>
        <w:t xml:space="preserve">Por qué esta política</w:t>
      </w:r>
      <w:bookmarkEnd w:id="26"/>
    </w:p>
    <w:p>
      <w:pPr>
        <w:pStyle w:val="FirstParagraph"/>
      </w:pPr>
      <w:r>
        <w:t xml:space="preserve">En Uruguay, FUCVAM ha construido vivienda para</w:t>
      </w:r>
      <w:r>
        <w:t xml:space="preserve"> </w:t>
      </w:r>
      <w:r>
        <w:rPr>
          <w:b/>
        </w:rPr>
        <w:t xml:space="preserve">35.000 familias</w:t>
      </w:r>
      <w:r>
        <w:t xml:space="preserve"> </w:t>
      </w:r>
      <w:r>
        <w:t xml:space="preserve">en 730 cooperativas a lo largo de 50 años. El modelo produce viviendas de mejor calidad que la vivienda social convencional a menor costo, pero además genera algo que ningún programa estatal logra: comunidad. Las familias que construyen juntas se conocen, se cuidan, resuelven conflictos, comparten espacios. No es solo un techo — es un barrio con alma.</w:t>
      </w:r>
    </w:p>
    <w:p>
      <w:pPr>
        <w:pStyle w:val="BodyText"/>
      </w:pPr>
      <w:r>
        <w:t xml:space="preserve">Argentina ya tiene experiencia cooperativa (Movimiento de Ocupantes e Inquilinos, cooperativas del MOI, PAV en CABA) pero a escala muy limitada. La propuesta es escalar esto a nivel nacional.</w:t>
      </w:r>
    </w:p>
    <w:p>
      <w:pPr>
        <w:pStyle w:val="Heading3"/>
      </w:pPr>
      <w:bookmarkStart w:id="27" w:name="diseño-para-argentina"/>
      <w:r>
        <w:t xml:space="preserve">Diseño para Argentina</w:t>
      </w:r>
      <w:bookmarkEnd w:id="27"/>
    </w:p>
    <w:p>
      <w:pPr>
        <w:pStyle w:val="FirstParagraph"/>
      </w:pPr>
      <w:r>
        <w:rPr>
          <w:b/>
        </w:rPr>
        <w:t xml:space="preserve">Componentes:</w:t>
      </w:r>
      <w:r>
        <w:t xml:space="preserve"> </w:t>
      </w:r>
      <w:r>
        <w:t xml:space="preserve">- Creación de un</w:t>
      </w:r>
      <w:r>
        <w:t xml:space="preserve"> </w:t>
      </w:r>
      <w:r>
        <w:rPr>
          <w:b/>
        </w:rPr>
        <w:t xml:space="preserve">Fondo Nacional de Hábitat Cooperativo</w:t>
      </w:r>
      <w:r>
        <w:t xml:space="preserve"> </w:t>
      </w:r>
      <w:r>
        <w:t xml:space="preserve">dentro del presupuesto nacional</w:t>
      </w:r>
      <w:r>
        <w:t xml:space="preserve"> </w:t>
      </w:r>
      <w:r>
        <w:t xml:space="preserve">- Financiamiento blando a 30 años, con período de gracia de 3 años, tasa subsidiada</w:t>
      </w:r>
      <w:r>
        <w:t xml:space="preserve"> </w:t>
      </w:r>
      <w:r>
        <w:t xml:space="preserve">- Equipos técnicos interdisciplinarios (arquitectos, trabajadores sociales, abogados) que acompañan cada cooperativa</w:t>
      </w:r>
      <w:r>
        <w:t xml:space="preserve"> </w:t>
      </w:r>
      <w:r>
        <w:t xml:space="preserve">- Terrenos provistos por el Estado (tierras fiscales nacionales, provinciales o municipales)</w:t>
      </w:r>
      <w:r>
        <w:t xml:space="preserve"> </w:t>
      </w:r>
      <w:r>
        <w:t xml:space="preserve">- Cada barrio cooperativo incluye: viviendas (60-80 m²), salón comunitario, huerta orgánica compartida, paneles solares comunitarios, espacio de juego para niños</w:t>
      </w:r>
      <w:r>
        <w:t xml:space="preserve"> </w:t>
      </w:r>
      <w:r>
        <w:t xml:space="preserve">- Programa de formación en oficios de construcción para los propios cooperativistas (generando empleabilidad futura)</w:t>
      </w:r>
    </w:p>
    <w:p>
      <w:pPr>
        <w:pStyle w:val="BodyText"/>
      </w:pPr>
      <w:r>
        <w:rPr>
          <w:b/>
        </w:rPr>
        <w:t xml:space="preserve">Meta:</w:t>
      </w:r>
      <w:r>
        <w:t xml:space="preserve"> </w:t>
      </w:r>
      <w:r>
        <w:t xml:space="preserve">500 cooperativas en 5 años =</w:t>
      </w:r>
      <w:r>
        <w:t xml:space="preserve"> </w:t>
      </w:r>
      <w:r>
        <w:rPr>
          <w:b/>
        </w:rPr>
        <w:t xml:space="preserve">20.000 viviendas</w:t>
      </w:r>
      <w:r>
        <w:t xml:space="preserve"> </w:t>
      </w:r>
      <w:r>
        <w:t xml:space="preserve">(40.000 si se duplica el esfuerzo)</w:t>
      </w:r>
    </w:p>
    <w:p>
      <w:pPr>
        <w:pStyle w:val="Heading3"/>
      </w:pPr>
      <w:bookmarkStart w:id="28" w:name="costeo"/>
      <w:r>
        <w:t xml:space="preserve">Costeo</w:t>
      </w:r>
      <w:bookmarkEnd w:id="28"/>
    </w:p>
    <w:tbl>
      <w:tblPr>
        <w:tblStyle w:val="Table"/>
        <w:tblW w:type="pct" w:w="5000.0"/>
        <w:tblLook w:firstRow="1"/>
      </w:tblPr>
      <w:tblGrid>
        <w:gridCol w:w="1552"/>
        <w:gridCol w:w="2329"/>
        <w:gridCol w:w="4037"/>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Costo unitario</w:t>
            </w:r>
          </w:p>
        </w:tc>
        <w:tc>
          <w:tcPr>
            <w:tcBorders>
              <w:bottom w:val="single"/>
            </w:tcBorders>
            <w:vAlign w:val="bottom"/>
          </w:tcPr>
          <w:p>
            <w:pPr>
              <w:pStyle w:val="Compact"/>
              <w:jc w:val="left"/>
            </w:pPr>
            <w:r>
              <w:t xml:space="preserve">Total (20.000 viviendas)</w:t>
            </w:r>
          </w:p>
        </w:tc>
      </w:tr>
      <w:tr>
        <w:tc>
          <w:p>
            <w:pPr>
              <w:pStyle w:val="Compact"/>
              <w:jc w:val="left"/>
            </w:pPr>
            <w:r>
              <w:t xml:space="preserve">Construcción por vivienda (75 m², con ayuda mutua)</w:t>
            </w:r>
          </w:p>
        </w:tc>
        <w:tc>
          <w:p>
            <w:pPr>
              <w:pStyle w:val="Compact"/>
              <w:jc w:val="left"/>
            </w:pPr>
            <w:r>
              <w:t xml:space="preserve">USD 25.000</w:t>
            </w:r>
          </w:p>
        </w:tc>
        <w:tc>
          <w:p>
            <w:pPr>
              <w:pStyle w:val="Compact"/>
              <w:jc w:val="left"/>
            </w:pPr>
            <w:r>
              <w:t xml:space="preserve">USD 500 millones</w:t>
            </w:r>
          </w:p>
        </w:tc>
      </w:tr>
      <w:tr>
        <w:tc>
          <w:p>
            <w:pPr>
              <w:pStyle w:val="Compact"/>
              <w:jc w:val="left"/>
            </w:pPr>
            <w:r>
              <w:t xml:space="preserve">Terreno (tierras fiscales, costo de habilitación)</w:t>
            </w:r>
          </w:p>
        </w:tc>
        <w:tc>
          <w:p>
            <w:pPr>
              <w:pStyle w:val="Compact"/>
              <w:jc w:val="left"/>
            </w:pPr>
            <w:r>
              <w:t xml:space="preserve">USD 3.000/vivienda</w:t>
            </w:r>
          </w:p>
        </w:tc>
        <w:tc>
          <w:p>
            <w:pPr>
              <w:pStyle w:val="Compact"/>
              <w:jc w:val="left"/>
            </w:pPr>
            <w:r>
              <w:t xml:space="preserve">USD 60 millones</w:t>
            </w:r>
          </w:p>
        </w:tc>
      </w:tr>
      <w:tr>
        <w:tc>
          <w:p>
            <w:pPr>
              <w:pStyle w:val="Compact"/>
              <w:jc w:val="left"/>
            </w:pPr>
            <w:r>
              <w:t xml:space="preserve">Infraestructura comunitaria (salón, huerta, juegos)</w:t>
            </w:r>
          </w:p>
        </w:tc>
        <w:tc>
          <w:p>
            <w:pPr>
              <w:pStyle w:val="Compact"/>
              <w:jc w:val="left"/>
            </w:pPr>
            <w:r>
              <w:t xml:space="preserve">USD 2.000/vivienda</w:t>
            </w:r>
          </w:p>
        </w:tc>
        <w:tc>
          <w:p>
            <w:pPr>
              <w:pStyle w:val="Compact"/>
              <w:jc w:val="left"/>
            </w:pPr>
            <w:r>
              <w:t xml:space="preserve">USD 40 millones</w:t>
            </w:r>
          </w:p>
        </w:tc>
      </w:tr>
      <w:tr>
        <w:tc>
          <w:p>
            <w:pPr>
              <w:pStyle w:val="Compact"/>
              <w:jc w:val="left"/>
            </w:pPr>
            <w:r>
              <w:t xml:space="preserve">Paneles solares (sistema comunitario)</w:t>
            </w:r>
          </w:p>
        </w:tc>
        <w:tc>
          <w:p>
            <w:pPr>
              <w:pStyle w:val="Compact"/>
              <w:jc w:val="left"/>
            </w:pPr>
            <w:r>
              <w:t xml:space="preserve">USD 1.500/vivienda</w:t>
            </w:r>
          </w:p>
        </w:tc>
        <w:tc>
          <w:p>
            <w:pPr>
              <w:pStyle w:val="Compact"/>
              <w:jc w:val="left"/>
            </w:pPr>
            <w:r>
              <w:t xml:space="preserve">USD 30 millones</w:t>
            </w:r>
          </w:p>
        </w:tc>
      </w:tr>
      <w:tr>
        <w:tc>
          <w:p>
            <w:pPr>
              <w:pStyle w:val="Compact"/>
              <w:jc w:val="left"/>
            </w:pPr>
            <w:r>
              <w:t xml:space="preserve">Equipos técnicos (500 equipos × 5 años)</w:t>
            </w:r>
          </w:p>
        </w:tc>
        <w:tc>
          <w:p>
            <w:pPr>
              <w:pStyle w:val="Compact"/>
              <w:jc w:val="left"/>
            </w:pPr>
            <w:r>
              <w:t xml:space="preserve">USD 120.000/equipo/año</w:t>
            </w:r>
          </w:p>
        </w:tc>
        <w:tc>
          <w:p>
            <w:pPr>
              <w:pStyle w:val="Compact"/>
              <w:jc w:val="left"/>
            </w:pPr>
            <w:r>
              <w:t xml:space="preserve">USD 300 millones</w:t>
            </w:r>
          </w:p>
        </w:tc>
      </w:tr>
      <w:tr>
        <w:tc>
          <w:p>
            <w:pPr>
              <w:pStyle w:val="Compact"/>
              <w:jc w:val="left"/>
            </w:pPr>
            <w:r>
              <w:rPr>
                <w:b/>
              </w:rPr>
              <w:t xml:space="preserve">Total</w:t>
            </w:r>
          </w:p>
        </w:tc>
        <w:tc>
          <w:p/>
        </w:tc>
        <w:tc>
          <w:p>
            <w:pPr>
              <w:pStyle w:val="Compact"/>
              <w:jc w:val="left"/>
            </w:pPr>
            <w:r>
              <w:rPr>
                <w:b/>
              </w:rPr>
              <w:t xml:space="preserve">USD 930 millones (5 años)</w:t>
            </w:r>
          </w:p>
        </w:tc>
      </w:tr>
      <w:tr>
        <w:tc>
          <w:p>
            <w:pPr>
              <w:pStyle w:val="Compact"/>
              <w:jc w:val="left"/>
            </w:pPr>
            <w:r>
              <w:rPr>
                <w:b/>
              </w:rPr>
              <w:t xml:space="preserve">Costo por vivienda completa</w:t>
            </w:r>
          </w:p>
        </w:tc>
        <w:tc>
          <w:p/>
        </w:tc>
        <w:tc>
          <w:p>
            <w:pPr>
              <w:pStyle w:val="Compact"/>
              <w:jc w:val="left"/>
            </w:pPr>
            <w:r>
              <w:rPr>
                <w:b/>
              </w:rPr>
              <w:t xml:space="preserve">USD 46.500</w:t>
            </w:r>
          </w:p>
        </w:tc>
      </w:tr>
    </w:tbl>
    <w:p>
      <w:pPr>
        <w:pStyle w:val="BodyText"/>
      </w:pPr>
      <w:r>
        <w:rPr>
          <w:i/>
        </w:rPr>
        <w:t xml:space="preserve">Nota: El costo por vivienda de ayuda mutua es 15-20% menor que la vivienda social convencional porque las familias aportan mano de obra.</w:t>
      </w:r>
    </w:p>
    <w:p>
      <w:pPr>
        <w:pStyle w:val="Heading3"/>
      </w:pPr>
      <w:bookmarkStart w:id="29" w:name="financiamiento"/>
      <w:r>
        <w:t xml:space="preserve">Financiamiento</w:t>
      </w:r>
      <w:bookmarkEnd w:id="29"/>
    </w:p>
    <w:p>
      <w:pPr>
        <w:numPr>
          <w:ilvl w:val="0"/>
          <w:numId w:val="1001"/>
        </w:numPr>
        <w:pStyle w:val="Compact"/>
      </w:pPr>
      <w:r>
        <w:rPr>
          <w:b/>
        </w:rPr>
        <w:t xml:space="preserve">50% — BID/Banco Mundial:</w:t>
      </w:r>
      <w:r>
        <w:t xml:space="preserve"> </w:t>
      </w:r>
      <w:r>
        <w:t xml:space="preserve">USD 465 millones en préstamo a 25 años (precedente: BID ya financia vivienda social en Argentina con USD 150M)</w:t>
      </w:r>
    </w:p>
    <w:p>
      <w:pPr>
        <w:numPr>
          <w:ilvl w:val="0"/>
          <w:numId w:val="1001"/>
        </w:numPr>
        <w:pStyle w:val="Compact"/>
      </w:pPr>
      <w:r>
        <w:rPr>
          <w:b/>
        </w:rPr>
        <w:t xml:space="preserve">30% — Presupuesto nacional:</w:t>
      </w:r>
      <w:r>
        <w:t xml:space="preserve"> </w:t>
      </w:r>
      <w:r>
        <w:t xml:space="preserve">USD 279 millones en 5 años (USD 55,8M/año = 0,01% del PBI)</w:t>
      </w:r>
    </w:p>
    <w:p>
      <w:pPr>
        <w:numPr>
          <w:ilvl w:val="0"/>
          <w:numId w:val="1001"/>
        </w:numPr>
        <w:pStyle w:val="Compact"/>
      </w:pPr>
      <w:r>
        <w:rPr>
          <w:b/>
        </w:rPr>
        <w:t xml:space="preserve">15% — Fondo de Sustentabilidad del ANSES (FGS):</w:t>
      </w:r>
      <w:r>
        <w:t xml:space="preserve"> </w:t>
      </w:r>
      <w:r>
        <w:t xml:space="preserve">USD 139,5 millones como inversión social con retorno (las cooperativas pagan cuotas)</w:t>
      </w:r>
    </w:p>
    <w:p>
      <w:pPr>
        <w:numPr>
          <w:ilvl w:val="0"/>
          <w:numId w:val="1001"/>
        </w:numPr>
        <w:pStyle w:val="Compact"/>
      </w:pPr>
      <w:r>
        <w:rPr>
          <w:b/>
        </w:rPr>
        <w:t xml:space="preserve">5% — Aporte de las familias:</w:t>
      </w:r>
      <w:r>
        <w:t xml:space="preserve"> </w:t>
      </w:r>
      <w:r>
        <w:t xml:space="preserve">en horas de trabajo (equivalente a USD 46,5 millones en valor de mano de obra)</w:t>
      </w:r>
    </w:p>
    <w:p>
      <w:pPr>
        <w:pStyle w:val="Heading3"/>
      </w:pPr>
      <w:bookmarkStart w:id="30" w:name="diálogo-con-el-marco-teórico"/>
      <w:r>
        <w:t xml:space="preserve">Diálogo con el marco teórico</w:t>
      </w:r>
      <w:bookmarkEnd w:id="30"/>
    </w:p>
    <w:p>
      <w:pPr>
        <w:pStyle w:val="FirstParagraph"/>
      </w:pPr>
      <w:r>
        <w:t xml:space="preserve">Esta política es el ejemplo más directo de lo que</w:t>
      </w:r>
      <w:r>
        <w:t xml:space="preserve"> </w:t>
      </w:r>
      <w:r>
        <w:rPr>
          <w:b/>
        </w:rPr>
        <w:t xml:space="preserve">Elinor Ostrom</w:t>
      </w:r>
      <w:r>
        <w:t xml:space="preserve"> </w:t>
      </w:r>
      <w:r>
        <w:t xml:space="preserve">demostró con los commons: que las comunidades pueden gestionar recursos compartidos mejor que el Estado o el mercado cuando tienen las reglas adecuadas. La propiedad colectiva de la cooperativa ES un common.</w:t>
      </w:r>
    </w:p>
    <w:p>
      <w:pPr>
        <w:pStyle w:val="BodyText"/>
      </w:pPr>
      <w:r>
        <w:t xml:space="preserve">Se conecta con</w:t>
      </w:r>
      <w:r>
        <w:t xml:space="preserve"> </w:t>
      </w:r>
      <w:r>
        <w:rPr>
          <w:b/>
        </w:rPr>
        <w:t xml:space="preserve">Kate Raworth</w:t>
      </w:r>
      <w:r>
        <w:t xml:space="preserve"> </w:t>
      </w:r>
      <w:r>
        <w:t xml:space="preserve">y la economía de la dona: la vivienda es el piso social más básico (nadie puede prosperar sin techo), y el modelo cooperativo no requiere crecimiento infinito — es autosustentable una vez construido.</w:t>
      </w:r>
    </w:p>
    <w:p>
      <w:pPr>
        <w:pStyle w:val="BodyText"/>
      </w:pPr>
      <w:r>
        <w:t xml:space="preserve">Dialoga con</w:t>
      </w:r>
      <w:r>
        <w:t xml:space="preserve"> </w:t>
      </w:r>
      <w:r>
        <w:rPr>
          <w:b/>
        </w:rPr>
        <w:t xml:space="preserve">Manfred Max-Neef</w:t>
      </w:r>
      <w:r>
        <w:t xml:space="preserve"> </w:t>
      </w:r>
      <w:r>
        <w:t xml:space="preserve">y el desarrollo a escala humana: no son mega-complejos impersonales sino barrios de 20-50 familias donde cada persona conoce a sus vecinos.</w:t>
      </w:r>
    </w:p>
    <w:p>
      <w:pPr>
        <w:pStyle w:val="BodyText"/>
      </w:pPr>
      <w:r>
        <w:t xml:space="preserve">Incorpora la lógica de</w:t>
      </w:r>
      <w:r>
        <w:t xml:space="preserve"> </w:t>
      </w:r>
      <w:r>
        <w:rPr>
          <w:b/>
        </w:rPr>
        <w:t xml:space="preserve">Trebor Scholz</w:t>
      </w:r>
      <w:r>
        <w:t xml:space="preserve"> </w:t>
      </w:r>
      <w:r>
        <w:t xml:space="preserve">sobre cooperativismo de plataforma, pero aplicado a lo más físico: el hábitat.</w:t>
      </w:r>
    </w:p>
    <w:p>
      <w:pPr>
        <w:pStyle w:val="BodyText"/>
      </w:pPr>
      <w:r>
        <w:t xml:space="preserve">Y finalmente, encarna algo que no necesita nombre académico: que construir juntos es un acto de generosidad radical. Cada hora que una familia dedica a levantar la casa de su vecino es una hora de solidaridad que después sostiene al barrio entero.</w:t>
      </w:r>
    </w:p>
    <w:p>
      <w:r>
        <w:pict>
          <v:rect style="width:0;height:1.5pt" o:hralign="center" o:hrstd="t" o:hr="t"/>
        </w:pict>
      </w:r>
    </w:p>
    <w:p>
      <w:pPr>
        <w:pStyle w:val="Heading2"/>
      </w:pPr>
      <w:bookmarkStart w:id="31" w:name="Xcd69235be1e2d512ba9ef49041328723a06b0ba"/>
      <w:r>
        <w:t xml:space="preserve">Política 2: Urbanización Integral de Barrios Populares</w:t>
      </w:r>
      <w:bookmarkEnd w:id="31"/>
    </w:p>
    <w:p>
      <w:pPr>
        <w:pStyle w:val="FirstParagraph"/>
      </w:pPr>
      <w:r>
        <w:rPr>
          <w:i/>
        </w:rPr>
        <w:t xml:space="preserve">Inspirada en Medellín (Colombia), Favela-Bairro (Brasil) y el programa argentino de integración socio-urbana</w:t>
      </w:r>
    </w:p>
    <w:p>
      <w:pPr>
        <w:pStyle w:val="Heading3"/>
      </w:pPr>
      <w:bookmarkStart w:id="32" w:name="qué-es-1"/>
      <w:r>
        <w:t xml:space="preserve">Qué es</w:t>
      </w:r>
      <w:bookmarkEnd w:id="32"/>
    </w:p>
    <w:p>
      <w:pPr>
        <w:pStyle w:val="FirstParagraph"/>
      </w:pPr>
      <w:r>
        <w:t xml:space="preserve">En lugar de demoler y reubicar, se transforma el barrio donde está: se regularizan los terrenos, se conectan los servicios (agua, cloacas, electricidad, gas), se pavimentan calles, se construyen centros comunitarios y se mejoran las viviendas existentes. Es más rápido, más barato y más humano que construir desde cero, porque respeta las redes sociales, los comercios, las escuelas que ya existen.</w:t>
      </w:r>
    </w:p>
    <w:p>
      <w:pPr>
        <w:pStyle w:val="Heading3"/>
      </w:pPr>
      <w:bookmarkStart w:id="33" w:name="por-qué-esta-política-1"/>
      <w:r>
        <w:t xml:space="preserve">Por qué esta política</w:t>
      </w:r>
      <w:bookmarkEnd w:id="33"/>
    </w:p>
    <w:p>
      <w:pPr>
        <w:pStyle w:val="FirstParagraph"/>
      </w:pPr>
      <w:r>
        <w:t xml:space="preserve">Medellín demostró que invertir en los barrios más pobres transforma una ciudad entera. Cuando los Metrocables conectaron las comunas con el centro, cuando los Parques Biblioteca pusieron arquitectura de primer nivel en los barrios más castigados, la tasa de homicidios cayó un</w:t>
      </w:r>
      <w:r>
        <w:t xml:space="preserve"> </w:t>
      </w:r>
      <w:r>
        <w:rPr>
          <w:b/>
        </w:rPr>
        <w:t xml:space="preserve">96,7%</w:t>
      </w:r>
      <w:r>
        <w:t xml:space="preserve"> </w:t>
      </w:r>
      <w:r>
        <w:t xml:space="preserve">en 30 años. La pobreza se redujo del 49,7% al 14,7%.</w:t>
      </w:r>
    </w:p>
    <w:p>
      <w:pPr>
        <w:pStyle w:val="BodyText"/>
      </w:pPr>
      <w:r>
        <w:t xml:space="preserve">Brasil, con Favela-Bairro en Río, urbanizó más de 100 favelas invirtiendo USD 600 millones (con apoyo del BID). La clave fue no desarraigar a la gente sino llevar la ciudad al barrio.</w:t>
      </w:r>
    </w:p>
    <w:p>
      <w:pPr>
        <w:pStyle w:val="BodyText"/>
      </w:pPr>
      <w:r>
        <w:t xml:space="preserve">Argentina tiene la Ley 27.453 de Integración Socio-Urbana de Barrios Populares (2018), que declaró de interés público la integración de los 6.467 barrios del RENABAP. Pero la ejecución ha sido mínima. El marco legal existe — falta voluntad y financiamiento.</w:t>
      </w:r>
    </w:p>
    <w:p>
      <w:pPr>
        <w:pStyle w:val="Heading3"/>
      </w:pPr>
      <w:bookmarkStart w:id="34" w:name="diseño-para-argentina-1"/>
      <w:r>
        <w:t xml:space="preserve">Diseño para Argentina</w:t>
      </w:r>
      <w:bookmarkEnd w:id="34"/>
    </w:p>
    <w:p>
      <w:pPr>
        <w:pStyle w:val="FirstParagraph"/>
      </w:pPr>
      <w:r>
        <w:rPr>
          <w:b/>
        </w:rPr>
        <w:t xml:space="preserve">Fase 1 (2027-2028): 500 barrios prioritarios</w:t>
      </w:r>
      <w:r>
        <w:t xml:space="preserve"> </w:t>
      </w:r>
      <w:r>
        <w:t xml:space="preserve">- Criterio de selección: mayor población, peor acceso a servicios, mayor riesgo ambiental</w:t>
      </w:r>
      <w:r>
        <w:t xml:space="preserve"> </w:t>
      </w:r>
      <w:r>
        <w:t xml:space="preserve">- Regularización dominial (títulos de propiedad)</w:t>
      </w:r>
      <w:r>
        <w:t xml:space="preserve"> </w:t>
      </w:r>
      <w:r>
        <w:t xml:space="preserve">- Conexión a agua potable y cloacas</w:t>
      </w:r>
      <w:r>
        <w:t xml:space="preserve"> </w:t>
      </w:r>
      <w:r>
        <w:t xml:space="preserve">- Tendido eléctrico seguro</w:t>
      </w:r>
      <w:r>
        <w:t xml:space="preserve"> </w:t>
      </w:r>
      <w:r>
        <w:t xml:space="preserve">- Pavimentación de calles principales</w:t>
      </w:r>
    </w:p>
    <w:p>
      <w:pPr>
        <w:pStyle w:val="BodyText"/>
      </w:pPr>
      <w:r>
        <w:rPr>
          <w:b/>
        </w:rPr>
        <w:t xml:space="preserve">Fase 2 (2028-2030): Infraestructura comunitaria</w:t>
      </w:r>
      <w:r>
        <w:t xml:space="preserve"> </w:t>
      </w:r>
      <w:r>
        <w:t xml:space="preserve">- Centros de salud barriales (un CAPS por cada 3-5 barrios)</w:t>
      </w:r>
      <w:r>
        <w:t xml:space="preserve"> </w:t>
      </w:r>
      <w:r>
        <w:t xml:space="preserve">- Centros comunitarios multipropósito</w:t>
      </w:r>
      <w:r>
        <w:t xml:space="preserve"> </w:t>
      </w:r>
      <w:r>
        <w:t xml:space="preserve">- Canchas deportivas y espacios verdes</w:t>
      </w:r>
      <w:r>
        <w:t xml:space="preserve"> </w:t>
      </w:r>
      <w:r>
        <w:t xml:space="preserve">- Conectividad WiFi pública</w:t>
      </w:r>
    </w:p>
    <w:p>
      <w:pPr>
        <w:pStyle w:val="BodyText"/>
      </w:pPr>
      <w:r>
        <w:rPr>
          <w:b/>
        </w:rPr>
        <w:t xml:space="preserve">Fase 3 (2029-2031): Mejoramiento de viviendas</w:t>
      </w:r>
      <w:r>
        <w:t xml:space="preserve"> </w:t>
      </w:r>
      <w:r>
        <w:t xml:space="preserve">- Programa Mi Pieza ampliado: subsidios para mejoras (techo, piso, baño, cocina)</w:t>
      </w:r>
      <w:r>
        <w:t xml:space="preserve"> </w:t>
      </w:r>
      <w:r>
        <w:t xml:space="preserve">- Asistencia técnica (arquitectos que ayudan a mejorar sin demoler)</w:t>
      </w:r>
      <w:r>
        <w:t xml:space="preserve"> </w:t>
      </w:r>
      <w:r>
        <w:t xml:space="preserve">- Paneles solares individuales o comunitarios</w:t>
      </w:r>
    </w:p>
    <w:p>
      <w:pPr>
        <w:pStyle w:val="BodyText"/>
      </w:pPr>
      <w:r>
        <w:rPr>
          <w:b/>
        </w:rPr>
        <w:t xml:space="preserve">Meta:</w:t>
      </w:r>
      <w:r>
        <w:t xml:space="preserve"> </w:t>
      </w:r>
      <w:r>
        <w:t xml:space="preserve">500 barrios urbanizados en 5 años =</w:t>
      </w:r>
      <w:r>
        <w:t xml:space="preserve"> </w:t>
      </w:r>
      <w:r>
        <w:rPr>
          <w:b/>
        </w:rPr>
        <w:t xml:space="preserve">600.000 familias</w:t>
      </w:r>
      <w:r>
        <w:t xml:space="preserve"> </w:t>
      </w:r>
      <w:r>
        <w:t xml:space="preserve">con acceso pleno a servicios y título de propiedad</w:t>
      </w:r>
    </w:p>
    <w:p>
      <w:pPr>
        <w:pStyle w:val="Heading3"/>
      </w:pPr>
      <w:bookmarkStart w:id="35" w:name="costeo-1"/>
      <w:r>
        <w:t xml:space="preserve">Costeo</w:t>
      </w:r>
      <w:bookmarkEnd w:id="35"/>
    </w:p>
    <w:tbl>
      <w:tblPr>
        <w:tblStyle w:val="Table"/>
        <w:tblW w:type="pct" w:w="5000.0"/>
        <w:tblLook w:firstRow="1"/>
      </w:tblPr>
      <w:tblGrid>
        <w:gridCol w:w="1257"/>
        <w:gridCol w:w="1885"/>
        <w:gridCol w:w="4777"/>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Costo unitario</w:t>
            </w:r>
          </w:p>
        </w:tc>
        <w:tc>
          <w:tcPr>
            <w:tcBorders>
              <w:bottom w:val="single"/>
            </w:tcBorders>
            <w:vAlign w:val="bottom"/>
          </w:tcPr>
          <w:p>
            <w:pPr>
              <w:pStyle w:val="Compact"/>
              <w:jc w:val="left"/>
            </w:pPr>
            <w:r>
              <w:t xml:space="preserve">Total (500 barrios, 600.000 familias)</w:t>
            </w:r>
          </w:p>
        </w:tc>
      </w:tr>
      <w:tr>
        <w:tc>
          <w:p>
            <w:pPr>
              <w:pStyle w:val="Compact"/>
              <w:jc w:val="left"/>
            </w:pPr>
            <w:r>
              <w:t xml:space="preserve">Regularización dominial</w:t>
            </w:r>
          </w:p>
        </w:tc>
        <w:tc>
          <w:p>
            <w:pPr>
              <w:pStyle w:val="Compact"/>
              <w:jc w:val="left"/>
            </w:pPr>
            <w:r>
              <w:t xml:space="preserve">USD 500/familia</w:t>
            </w:r>
          </w:p>
        </w:tc>
        <w:tc>
          <w:p>
            <w:pPr>
              <w:pStyle w:val="Compact"/>
              <w:jc w:val="left"/>
            </w:pPr>
            <w:r>
              <w:t xml:space="preserve">USD 300 millones</w:t>
            </w:r>
          </w:p>
        </w:tc>
      </w:tr>
      <w:tr>
        <w:tc>
          <w:p>
            <w:pPr>
              <w:pStyle w:val="Compact"/>
              <w:jc w:val="left"/>
            </w:pPr>
            <w:r>
              <w:t xml:space="preserve">Red de agua y cloacas</w:t>
            </w:r>
          </w:p>
        </w:tc>
        <w:tc>
          <w:p>
            <w:pPr>
              <w:pStyle w:val="Compact"/>
              <w:jc w:val="left"/>
            </w:pPr>
            <w:r>
              <w:t xml:space="preserve">USD 4.000/familia</w:t>
            </w:r>
          </w:p>
        </w:tc>
        <w:tc>
          <w:p>
            <w:pPr>
              <w:pStyle w:val="Compact"/>
              <w:jc w:val="left"/>
            </w:pPr>
            <w:r>
              <w:t xml:space="preserve">USD 2.400 millones</w:t>
            </w:r>
          </w:p>
        </w:tc>
      </w:tr>
      <w:tr>
        <w:tc>
          <w:p>
            <w:pPr>
              <w:pStyle w:val="Compact"/>
              <w:jc w:val="left"/>
            </w:pPr>
            <w:r>
              <w:t xml:space="preserve">Red eléctrica segura</w:t>
            </w:r>
          </w:p>
        </w:tc>
        <w:tc>
          <w:p>
            <w:pPr>
              <w:pStyle w:val="Compact"/>
              <w:jc w:val="left"/>
            </w:pPr>
            <w:r>
              <w:t xml:space="preserve">USD 1.500/familia</w:t>
            </w:r>
          </w:p>
        </w:tc>
        <w:tc>
          <w:p>
            <w:pPr>
              <w:pStyle w:val="Compact"/>
              <w:jc w:val="left"/>
            </w:pPr>
            <w:r>
              <w:t xml:space="preserve">USD 900 millones</w:t>
            </w:r>
          </w:p>
        </w:tc>
      </w:tr>
      <w:tr>
        <w:tc>
          <w:p>
            <w:pPr>
              <w:pStyle w:val="Compact"/>
              <w:jc w:val="left"/>
            </w:pPr>
            <w:r>
              <w:t xml:space="preserve">Pavimentación</w:t>
            </w:r>
          </w:p>
        </w:tc>
        <w:tc>
          <w:p>
            <w:pPr>
              <w:pStyle w:val="Compact"/>
              <w:jc w:val="left"/>
            </w:pPr>
            <w:r>
              <w:t xml:space="preserve">USD 1.000/familia</w:t>
            </w:r>
          </w:p>
        </w:tc>
        <w:tc>
          <w:p>
            <w:pPr>
              <w:pStyle w:val="Compact"/>
              <w:jc w:val="left"/>
            </w:pPr>
            <w:r>
              <w:t xml:space="preserve">USD 600 millones</w:t>
            </w:r>
          </w:p>
        </w:tc>
      </w:tr>
      <w:tr>
        <w:tc>
          <w:p>
            <w:pPr>
              <w:pStyle w:val="Compact"/>
              <w:jc w:val="left"/>
            </w:pPr>
            <w:r>
              <w:t xml:space="preserve">Infraestructura comunitaria (CAPS, centros, canchas)</w:t>
            </w:r>
          </w:p>
        </w:tc>
        <w:tc>
          <w:p>
            <w:pPr>
              <w:pStyle w:val="Compact"/>
              <w:jc w:val="left"/>
            </w:pPr>
            <w:r>
              <w:t xml:space="preserve">USD 2.000/familia</w:t>
            </w:r>
          </w:p>
        </w:tc>
        <w:tc>
          <w:p>
            <w:pPr>
              <w:pStyle w:val="Compact"/>
              <w:jc w:val="left"/>
            </w:pPr>
            <w:r>
              <w:t xml:space="preserve">USD 1.200 millones</w:t>
            </w:r>
          </w:p>
        </w:tc>
      </w:tr>
      <w:tr>
        <w:tc>
          <w:p>
            <w:pPr>
              <w:pStyle w:val="Compact"/>
              <w:jc w:val="left"/>
            </w:pPr>
            <w:r>
              <w:t xml:space="preserve">Mejoramiento de viviendas (subsidio promedio)</w:t>
            </w:r>
          </w:p>
        </w:tc>
        <w:tc>
          <w:p>
            <w:pPr>
              <w:pStyle w:val="Compact"/>
              <w:jc w:val="left"/>
            </w:pPr>
            <w:r>
              <w:t xml:space="preserve">USD 3.000/familia</w:t>
            </w:r>
          </w:p>
        </w:tc>
        <w:tc>
          <w:p>
            <w:pPr>
              <w:pStyle w:val="Compact"/>
              <w:jc w:val="left"/>
            </w:pPr>
            <w:r>
              <w:t xml:space="preserve">USD 1.800 millones</w:t>
            </w:r>
          </w:p>
        </w:tc>
      </w:tr>
      <w:tr>
        <w:tc>
          <w:p>
            <w:pPr>
              <w:pStyle w:val="Compact"/>
              <w:jc w:val="left"/>
            </w:pPr>
            <w:r>
              <w:t xml:space="preserve">Paneles solares</w:t>
            </w:r>
          </w:p>
        </w:tc>
        <w:tc>
          <w:p>
            <w:pPr>
              <w:pStyle w:val="Compact"/>
              <w:jc w:val="left"/>
            </w:pPr>
            <w:r>
              <w:t xml:space="preserve">USD 1.200/familia</w:t>
            </w:r>
          </w:p>
        </w:tc>
        <w:tc>
          <w:p>
            <w:pPr>
              <w:pStyle w:val="Compact"/>
              <w:jc w:val="left"/>
            </w:pPr>
            <w:r>
              <w:t xml:space="preserve">USD 720 millones</w:t>
            </w:r>
          </w:p>
        </w:tc>
      </w:tr>
      <w:tr>
        <w:tc>
          <w:p>
            <w:pPr>
              <w:pStyle w:val="Compact"/>
              <w:jc w:val="left"/>
            </w:pPr>
            <w:r>
              <w:t xml:space="preserve">Equipos técnicos y sociales</w:t>
            </w:r>
          </w:p>
        </w:tc>
        <w:tc>
          <w:p>
            <w:pPr>
              <w:pStyle w:val="Compact"/>
              <w:jc w:val="left"/>
            </w:pPr>
            <w:r>
              <w:t xml:space="preserve">—</w:t>
            </w:r>
          </w:p>
        </w:tc>
        <w:tc>
          <w:p>
            <w:pPr>
              <w:pStyle w:val="Compact"/>
              <w:jc w:val="left"/>
            </w:pPr>
            <w:r>
              <w:t xml:space="preserve">USD 500 millones</w:t>
            </w:r>
          </w:p>
        </w:tc>
      </w:tr>
      <w:tr>
        <w:tc>
          <w:p>
            <w:pPr>
              <w:pStyle w:val="Compact"/>
              <w:jc w:val="left"/>
            </w:pPr>
            <w:r>
              <w:rPr>
                <w:b/>
              </w:rPr>
              <w:t xml:space="preserve">Total</w:t>
            </w:r>
          </w:p>
        </w:tc>
        <w:tc>
          <w:p/>
        </w:tc>
        <w:tc>
          <w:p>
            <w:pPr>
              <w:pStyle w:val="Compact"/>
              <w:jc w:val="left"/>
            </w:pPr>
            <w:r>
              <w:rPr>
                <w:b/>
              </w:rPr>
              <w:t xml:space="preserve">USD 8.420 millones (5 años)</w:t>
            </w:r>
          </w:p>
        </w:tc>
      </w:tr>
      <w:tr>
        <w:tc>
          <w:p>
            <w:pPr>
              <w:pStyle w:val="Compact"/>
              <w:jc w:val="left"/>
            </w:pPr>
            <w:r>
              <w:rPr>
                <w:b/>
              </w:rPr>
              <w:t xml:space="preserve">Costo por familia</w:t>
            </w:r>
          </w:p>
        </w:tc>
        <w:tc>
          <w:p/>
        </w:tc>
        <w:tc>
          <w:p>
            <w:pPr>
              <w:pStyle w:val="Compact"/>
              <w:jc w:val="left"/>
            </w:pPr>
            <w:r>
              <w:rPr>
                <w:b/>
              </w:rPr>
              <w:t xml:space="preserve">USD 14.033</w:t>
            </w:r>
          </w:p>
        </w:tc>
      </w:tr>
    </w:tbl>
    <w:p>
      <w:pPr>
        <w:pStyle w:val="BodyText"/>
      </w:pPr>
      <w:r>
        <w:rPr>
          <w:i/>
        </w:rPr>
        <w:t xml:space="preserve">Nota: USD 14.000 por familia es significativamente más barato que construir una vivienda nueva (USD 35.000-50.000). Es la intervención con mejor relación costo-impacto.</w:t>
      </w:r>
    </w:p>
    <w:p>
      <w:pPr>
        <w:pStyle w:val="Heading3"/>
      </w:pPr>
      <w:bookmarkStart w:id="36" w:name="financiamiento-1"/>
      <w:r>
        <w:t xml:space="preserve">Financiamiento</w:t>
      </w:r>
      <w:bookmarkEnd w:id="36"/>
    </w:p>
    <w:p>
      <w:pPr>
        <w:numPr>
          <w:ilvl w:val="0"/>
          <w:numId w:val="1002"/>
        </w:numPr>
        <w:pStyle w:val="Compact"/>
      </w:pPr>
      <w:r>
        <w:rPr>
          <w:b/>
        </w:rPr>
        <w:t xml:space="preserve">35% — Multilaterales (BID + Banco Mundial + CAF):</w:t>
      </w:r>
      <w:r>
        <w:t xml:space="preserve"> </w:t>
      </w:r>
      <w:r>
        <w:t xml:space="preserve">USD 2.947 millones (ambos ya tienen líneas activas en Argentina para exactamente esto)</w:t>
      </w:r>
    </w:p>
    <w:p>
      <w:pPr>
        <w:numPr>
          <w:ilvl w:val="0"/>
          <w:numId w:val="1002"/>
        </w:numPr>
        <w:pStyle w:val="Compact"/>
      </w:pPr>
      <w:r>
        <w:rPr>
          <w:b/>
        </w:rPr>
        <w:t xml:space="preserve">25% — Presupuesto nacional:</w:t>
      </w:r>
      <w:r>
        <w:t xml:space="preserve"> </w:t>
      </w:r>
      <w:r>
        <w:t xml:space="preserve">USD 2.105 millones en 5 años (USD 421M/año)</w:t>
      </w:r>
    </w:p>
    <w:p>
      <w:pPr>
        <w:numPr>
          <w:ilvl w:val="0"/>
          <w:numId w:val="1002"/>
        </w:numPr>
        <w:pStyle w:val="Compact"/>
      </w:pPr>
      <w:r>
        <w:rPr>
          <w:b/>
        </w:rPr>
        <w:t xml:space="preserve">15% — Bonos verdes/sociales:</w:t>
      </w:r>
      <w:r>
        <w:t xml:space="preserve"> </w:t>
      </w:r>
      <w:r>
        <w:t xml:space="preserve">USD 1.263 millones (la urbanización con paneles solares califica para bonos verdes)</w:t>
      </w:r>
    </w:p>
    <w:p>
      <w:pPr>
        <w:numPr>
          <w:ilvl w:val="0"/>
          <w:numId w:val="1002"/>
        </w:numPr>
        <w:pStyle w:val="Compact"/>
      </w:pPr>
      <w:r>
        <w:rPr>
          <w:b/>
        </w:rPr>
        <w:t xml:space="preserve">10% — Impuesto a viviendas ociosas:</w:t>
      </w:r>
      <w:r>
        <w:t xml:space="preserve"> </w:t>
      </w:r>
      <w:r>
        <w:t xml:space="preserve">USD 842 millones (se estima 500.000-600.000 viviendas vacías en Argentina; un impuesto del 1% anual sobre su valor recaudaría USD 150-200M/año)</w:t>
      </w:r>
    </w:p>
    <w:p>
      <w:pPr>
        <w:numPr>
          <w:ilvl w:val="0"/>
          <w:numId w:val="1002"/>
        </w:numPr>
        <w:pStyle w:val="Compact"/>
      </w:pPr>
      <w:r>
        <w:rPr>
          <w:b/>
        </w:rPr>
        <w:t xml:space="preserve">10% — Contribución por mejoras:</w:t>
      </w:r>
      <w:r>
        <w:t xml:space="preserve"> </w:t>
      </w:r>
      <w:r>
        <w:t xml:space="preserve">USD 842 millones (el aumento del valor de la tierra por urbanización se capta parcialmente como repago; modelo colombiano de valorización)</w:t>
      </w:r>
    </w:p>
    <w:p>
      <w:pPr>
        <w:numPr>
          <w:ilvl w:val="0"/>
          <w:numId w:val="1002"/>
        </w:numPr>
        <w:pStyle w:val="Compact"/>
      </w:pPr>
      <w:r>
        <w:rPr>
          <w:b/>
        </w:rPr>
        <w:t xml:space="preserve">5% — Gobiernos provinciales y municipales:</w:t>
      </w:r>
      <w:r>
        <w:t xml:space="preserve"> </w:t>
      </w:r>
      <w:r>
        <w:t xml:space="preserve">USD 421 millones</w:t>
      </w:r>
    </w:p>
    <w:p>
      <w:pPr>
        <w:pStyle w:val="Heading3"/>
      </w:pPr>
      <w:bookmarkStart w:id="37" w:name="diálogo-con-el-marco-teórico-1"/>
      <w:r>
        <w:t xml:space="preserve">Diálogo con el marco teórico</w:t>
      </w:r>
      <w:bookmarkEnd w:id="37"/>
    </w:p>
    <w:p>
      <w:pPr>
        <w:pStyle w:val="FirstParagraph"/>
      </w:pPr>
      <w:r>
        <w:t xml:space="preserve">Esta es la política que más directamente encarna la idea de</w:t>
      </w:r>
      <w:r>
        <w:t xml:space="preserve"> </w:t>
      </w:r>
      <w:r>
        <w:rPr>
          <w:b/>
        </w:rPr>
        <w:t xml:space="preserve">regeneración integral</w:t>
      </w:r>
      <w:r>
        <w:t xml:space="preserve">: no se regenera solo el ecosistema ambiental sino el ecosistema social. Cuando un barrio pasa de tener pozos negros a cloacas, de tener conexiones eléctricas colgadas con alambre a tendido seguro, de no tener dirección postal a tener título de propiedad — eso es regeneración en el sentido más profundo.</w:t>
      </w:r>
    </w:p>
    <w:p>
      <w:pPr>
        <w:pStyle w:val="BodyText"/>
      </w:pPr>
      <w:r>
        <w:t xml:space="preserve">Conecta con</w:t>
      </w:r>
      <w:r>
        <w:t xml:space="preserve"> </w:t>
      </w:r>
      <w:r>
        <w:rPr>
          <w:b/>
        </w:rPr>
        <w:t xml:space="preserve">John Fullerton</w:t>
      </w:r>
      <w:r>
        <w:t xml:space="preserve"> </w:t>
      </w:r>
      <w:r>
        <w:t xml:space="preserve">y la economía regenerativa: el barrio urbanizado genera valor (las propiedades aumentan, los comercios formalizan, la salud mejora, los chicos van más a la escuela). No es gasto — es inversión que se reproduce.</w:t>
      </w:r>
    </w:p>
    <w:p>
      <w:pPr>
        <w:pStyle w:val="BodyText"/>
      </w:pPr>
      <w:r>
        <w:t xml:space="preserve">Se vincula con el</w:t>
      </w:r>
      <w:r>
        <w:t xml:space="preserve"> </w:t>
      </w:r>
      <w:r>
        <w:rPr>
          <w:b/>
        </w:rPr>
        <w:t xml:space="preserve">urbanismo social</w:t>
      </w:r>
      <w:r>
        <w:t xml:space="preserve"> </w:t>
      </w:r>
      <w:r>
        <w:t xml:space="preserve">de Medellín y la idea de que</w:t>
      </w:r>
      <w:r>
        <w:t xml:space="preserve"> </w:t>
      </w:r>
      <w:r>
        <w:rPr>
          <w:b/>
        </w:rPr>
        <w:t xml:space="preserve">lo mejor tiene que ir donde más se necesita</w:t>
      </w:r>
      <w:r>
        <w:t xml:space="preserve">. En Argentina, la infraestructura de calidad siempre fue para los barrios ricos. Esta política invierte esa lógica.</w:t>
      </w:r>
    </w:p>
    <w:p>
      <w:pPr>
        <w:pStyle w:val="BodyText"/>
      </w:pPr>
      <w:r>
        <w:t xml:space="preserve">Y dialoga con</w:t>
      </w:r>
      <w:r>
        <w:t xml:space="preserve"> </w:t>
      </w:r>
      <w:r>
        <w:rPr>
          <w:b/>
        </w:rPr>
        <w:t xml:space="preserve">Ha-Joon Chang</w:t>
      </w:r>
      <w:r>
        <w:t xml:space="preserve"> </w:t>
      </w:r>
      <w:r>
        <w:t xml:space="preserve">y el Estado activo: el mercado jamás urbanizará un barrio popular porque no hay rentabilidad. Solo el Estado, con visión de largo plazo, puede hacer esta inversión que transforma vidas.</w:t>
      </w:r>
    </w:p>
    <w:p>
      <w:pPr>
        <w:pStyle w:val="BodyText"/>
      </w:pPr>
      <w:r>
        <w:t xml:space="preserve">El título de propiedad, además, conecta con una idea transversal: la</w:t>
      </w:r>
      <w:r>
        <w:t xml:space="preserve"> </w:t>
      </w:r>
      <w:r>
        <w:rPr>
          <w:b/>
        </w:rPr>
        <w:t xml:space="preserve">dignidad</w:t>
      </w:r>
      <w:r>
        <w:t xml:space="preserve">. Tener una dirección, un título, un servicio que funciona, es dejar de ser invisible. Es existir como ciudadano.</w:t>
      </w:r>
    </w:p>
    <w:p>
      <w:r>
        <w:pict>
          <v:rect style="width:0;height:1.5pt" o:hralign="center" o:hrstd="t" o:hr="t"/>
        </w:pict>
      </w:r>
    </w:p>
    <w:p>
      <w:pPr>
        <w:pStyle w:val="Heading2"/>
      </w:pPr>
      <w:bookmarkStart w:id="38" w:name="Xce3f34026a4f1c94d760313843aae0743738b61"/>
      <w:r>
        <w:t xml:space="preserve">Política 3: Vivienda Incremental con Energía Solar</w:t>
      </w:r>
      <w:bookmarkEnd w:id="38"/>
    </w:p>
    <w:p>
      <w:pPr>
        <w:pStyle w:val="FirstParagraph"/>
      </w:pPr>
      <w:r>
        <w:rPr>
          <w:i/>
        </w:rPr>
        <w:t xml:space="preserve">Inspirada en ELEMENTAL/Aravena (Chile) y adaptada con tecnología renovable</w:t>
      </w:r>
    </w:p>
    <w:p>
      <w:pPr>
        <w:pStyle w:val="Heading3"/>
      </w:pPr>
      <w:bookmarkStart w:id="39" w:name="qué-es-2"/>
      <w:r>
        <w:t xml:space="preserve">Qué es</w:t>
      </w:r>
      <w:bookmarkEnd w:id="39"/>
    </w:p>
    <w:p>
      <w:pPr>
        <w:pStyle w:val="FirstParagraph"/>
      </w:pPr>
      <w:r>
        <w:t xml:space="preserve">Se construye la</w:t>
      </w:r>
      <w:r>
        <w:t xml:space="preserve"> </w:t>
      </w:r>
      <w:r>
        <w:rPr>
          <w:b/>
        </w:rPr>
        <w:t xml:space="preserve">mitad de una buena casa</w:t>
      </w:r>
      <w:r>
        <w:t xml:space="preserve"> </w:t>
      </w:r>
      <w:r>
        <w:t xml:space="preserve">en lugar de una casa entera mala. El Estado entrega una estructura sólida (base, paredes maestras, techo, baño, cocina, una habitación) de 40 m² con paneles solares integrados, diseñada para que la familia la amplíe hasta 75-80 m² a medida que pueda. El diseño prevé la ampliación: la estructura portante ya soporta el peso final, los caños ya están dimensionados, el espacio está pensado.</w:t>
      </w:r>
    </w:p>
    <w:p>
      <w:pPr>
        <w:pStyle w:val="BodyText"/>
      </w:pPr>
      <w:r>
        <w:t xml:space="preserve">Los paneles solares generan un ahorro de energía que, en hogares de bajos ingresos, equivale a un ingreso mensual adicional, y permiten inyectar excedentes a la red (generación distribuida).</w:t>
      </w:r>
    </w:p>
    <w:p>
      <w:pPr>
        <w:pStyle w:val="Heading3"/>
      </w:pPr>
      <w:bookmarkStart w:id="40" w:name="por-qué-esta-política-2"/>
      <w:r>
        <w:t xml:space="preserve">Por qué esta política</w:t>
      </w:r>
      <w:bookmarkEnd w:id="40"/>
    </w:p>
    <w:p>
      <w:pPr>
        <w:pStyle w:val="FirstParagraph"/>
      </w:pPr>
      <w:r>
        <w:t xml:space="preserve">Alejandro Aravena, con ELEMENTAL en Chile, demostró con Quinta Monroy que una vivienda de USD 7.500 que el usuario amplía vale más que una de USD 15.000 terminada pero chica y en la periferia. Las familias de Quinta Monroy triplicaron el valor de sus viviendas en pocos años con sus propias ampliaciones.</w:t>
      </w:r>
    </w:p>
    <w:p>
      <w:pPr>
        <w:pStyle w:val="BodyText"/>
      </w:pPr>
      <w:r>
        <w:t xml:space="preserve">La clave es entender que la gente sabe construir. Lo que no puede resolver sola es la estructura, los servicios y la tierra. Si el Estado da eso, la familia completa el resto con inversión propia que además genera identidad y apropiación.</w:t>
      </w:r>
    </w:p>
    <w:p>
      <w:pPr>
        <w:pStyle w:val="BodyText"/>
      </w:pPr>
      <w:r>
        <w:t xml:space="preserve">Sumarle paneles solares es una decisión estratégica: para familias que gastan una proporción enorme de sus ingresos en energía, generar su propia electricidad es una transferencia de recursos inmediata.</w:t>
      </w:r>
    </w:p>
    <w:p>
      <w:pPr>
        <w:pStyle w:val="Heading3"/>
      </w:pPr>
      <w:bookmarkStart w:id="41" w:name="diseño-para-argentina-2"/>
      <w:r>
        <w:t xml:space="preserve">Diseño para Argentina</w:t>
      </w:r>
      <w:bookmarkEnd w:id="41"/>
    </w:p>
    <w:p>
      <w:pPr>
        <w:pStyle w:val="FirstParagraph"/>
      </w:pPr>
      <w:r>
        <w:rPr>
          <w:b/>
        </w:rPr>
        <w:t xml:space="preserve">Modelo de vivienda:</w:t>
      </w:r>
      <w:r>
        <w:t xml:space="preserve"> </w:t>
      </w:r>
      <w:r>
        <w:t xml:space="preserve">- 40 m² iniciales (estructura completa para 80 m²)</w:t>
      </w:r>
      <w:r>
        <w:t xml:space="preserve"> </w:t>
      </w:r>
      <w:r>
        <w:t xml:space="preserve">- 2 dormitorios iniciales (previsión para 3-4)</w:t>
      </w:r>
      <w:r>
        <w:t xml:space="preserve"> </w:t>
      </w:r>
      <w:r>
        <w:t xml:space="preserve">- Baño completo, cocina</w:t>
      </w:r>
      <w:r>
        <w:t xml:space="preserve"> </w:t>
      </w:r>
      <w:r>
        <w:t xml:space="preserve">- Sistema solar fotovoltaico de 2 kW con batería</w:t>
      </w:r>
      <w:r>
        <w:t xml:space="preserve"> </w:t>
      </w:r>
      <w:r>
        <w:t xml:space="preserve">- Tanque de agua con conexión formal</w:t>
      </w:r>
      <w:r>
        <w:t xml:space="preserve"> </w:t>
      </w:r>
      <w:r>
        <w:t xml:space="preserve">- Huerta individual o compartida según configuración del lote</w:t>
      </w:r>
    </w:p>
    <w:p>
      <w:pPr>
        <w:pStyle w:val="BodyText"/>
      </w:pPr>
      <w:r>
        <w:rPr>
          <w:b/>
        </w:rPr>
        <w:t xml:space="preserve">Ubicación:</w:t>
      </w:r>
      <w:r>
        <w:t xml:space="preserve"> </w:t>
      </w:r>
      <w:r>
        <w:t xml:space="preserve">Terrenos fiscales en periferias urbanas consolidadas (no en la periferia lejana — error de Minha Casa Minha Vida en Brasil)</w:t>
      </w:r>
    </w:p>
    <w:p>
      <w:pPr>
        <w:pStyle w:val="BodyText"/>
      </w:pPr>
      <w:r>
        <w:rPr>
          <w:b/>
        </w:rPr>
        <w:t xml:space="preserve">Acompañamiento:</w:t>
      </w:r>
      <w:r>
        <w:t xml:space="preserve"> </w:t>
      </w:r>
      <w:r>
        <w:t xml:space="preserve">Asistencia técnica gratuita para la ampliación (planos aprobados, materiales sugeridos, visitas de seguimiento)</w:t>
      </w:r>
    </w:p>
    <w:p>
      <w:pPr>
        <w:pStyle w:val="BodyText"/>
      </w:pPr>
      <w:r>
        <w:rPr>
          <w:b/>
        </w:rPr>
        <w:t xml:space="preserve">Meta:</w:t>
      </w:r>
      <w:r>
        <w:t xml:space="preserve"> </w:t>
      </w:r>
      <w:r>
        <w:rPr>
          <w:b/>
        </w:rPr>
        <w:t xml:space="preserve">30.000 viviendas incrementales</w:t>
      </w:r>
      <w:r>
        <w:t xml:space="preserve"> </w:t>
      </w:r>
      <w:r>
        <w:t xml:space="preserve">en 5 años (6.000/año)</w:t>
      </w:r>
    </w:p>
    <w:p>
      <w:pPr>
        <w:pStyle w:val="Heading3"/>
      </w:pPr>
      <w:bookmarkStart w:id="42" w:name="costeo-2"/>
      <w:r>
        <w:t xml:space="preserve">Costeo</w:t>
      </w:r>
      <w:bookmarkEnd w:id="42"/>
    </w:p>
    <w:tbl>
      <w:tblPr>
        <w:tblStyle w:val="Table"/>
        <w:tblW w:type="pct" w:w="5000.0"/>
        <w:tblLook w:firstRow="1"/>
      </w:tblPr>
      <w:tblGrid>
        <w:gridCol w:w="1552"/>
        <w:gridCol w:w="2329"/>
        <w:gridCol w:w="4037"/>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Costo unitario</w:t>
            </w:r>
          </w:p>
        </w:tc>
        <w:tc>
          <w:tcPr>
            <w:tcBorders>
              <w:bottom w:val="single"/>
            </w:tcBorders>
            <w:vAlign w:val="bottom"/>
          </w:tcPr>
          <w:p>
            <w:pPr>
              <w:pStyle w:val="Compact"/>
              <w:jc w:val="left"/>
            </w:pPr>
            <w:r>
              <w:t xml:space="preserve">Total (30.000 viviendas)</w:t>
            </w:r>
          </w:p>
        </w:tc>
      </w:tr>
      <w:tr>
        <w:tc>
          <w:p>
            <w:pPr>
              <w:pStyle w:val="Compact"/>
              <w:jc w:val="left"/>
            </w:pPr>
            <w:r>
              <w:t xml:space="preserve">Construcción estructura 40 m² (preparada para 80 m²)</w:t>
            </w:r>
          </w:p>
        </w:tc>
        <w:tc>
          <w:p>
            <w:pPr>
              <w:pStyle w:val="Compact"/>
              <w:jc w:val="left"/>
            </w:pPr>
            <w:r>
              <w:t xml:space="preserve">USD 18.000</w:t>
            </w:r>
          </w:p>
        </w:tc>
        <w:tc>
          <w:p>
            <w:pPr>
              <w:pStyle w:val="Compact"/>
              <w:jc w:val="left"/>
            </w:pPr>
            <w:r>
              <w:t xml:space="preserve">USD 540 millones</w:t>
            </w:r>
          </w:p>
        </w:tc>
      </w:tr>
      <w:tr>
        <w:tc>
          <w:p>
            <w:pPr>
              <w:pStyle w:val="Compact"/>
              <w:jc w:val="left"/>
            </w:pPr>
            <w:r>
              <w:t xml:space="preserve">Terreno y habilitación</w:t>
            </w:r>
          </w:p>
        </w:tc>
        <w:tc>
          <w:p>
            <w:pPr>
              <w:pStyle w:val="Compact"/>
              <w:jc w:val="left"/>
            </w:pPr>
            <w:r>
              <w:t xml:space="preserve">USD 4.000/vivienda</w:t>
            </w:r>
          </w:p>
        </w:tc>
        <w:tc>
          <w:p>
            <w:pPr>
              <w:pStyle w:val="Compact"/>
              <w:jc w:val="left"/>
            </w:pPr>
            <w:r>
              <w:t xml:space="preserve">USD 120 millones</w:t>
            </w:r>
          </w:p>
        </w:tc>
      </w:tr>
      <w:tr>
        <w:tc>
          <w:p>
            <w:pPr>
              <w:pStyle w:val="Compact"/>
              <w:jc w:val="left"/>
            </w:pPr>
            <w:r>
              <w:t xml:space="preserve">Infraestructura de servicios (agua, cloacas, electricidad)</w:t>
            </w:r>
          </w:p>
        </w:tc>
        <w:tc>
          <w:p>
            <w:pPr>
              <w:pStyle w:val="Compact"/>
              <w:jc w:val="left"/>
            </w:pPr>
            <w:r>
              <w:t xml:space="preserve">USD 3.500/vivienda</w:t>
            </w:r>
          </w:p>
        </w:tc>
        <w:tc>
          <w:p>
            <w:pPr>
              <w:pStyle w:val="Compact"/>
              <w:jc w:val="left"/>
            </w:pPr>
            <w:r>
              <w:t xml:space="preserve">USD 105 millones</w:t>
            </w:r>
          </w:p>
        </w:tc>
      </w:tr>
      <w:tr>
        <w:tc>
          <w:p>
            <w:pPr>
              <w:pStyle w:val="Compact"/>
              <w:jc w:val="left"/>
            </w:pPr>
            <w:r>
              <w:t xml:space="preserve">Sistema solar 2 kW + batería</w:t>
            </w:r>
          </w:p>
        </w:tc>
        <w:tc>
          <w:p>
            <w:pPr>
              <w:pStyle w:val="Compact"/>
              <w:jc w:val="left"/>
            </w:pPr>
            <w:r>
              <w:t xml:space="preserve">USD 3.000/vivienda</w:t>
            </w:r>
          </w:p>
        </w:tc>
        <w:tc>
          <w:p>
            <w:pPr>
              <w:pStyle w:val="Compact"/>
              <w:jc w:val="left"/>
            </w:pPr>
            <w:r>
              <w:t xml:space="preserve">USD 90 millones</w:t>
            </w:r>
          </w:p>
        </w:tc>
      </w:tr>
      <w:tr>
        <w:tc>
          <w:p>
            <w:pPr>
              <w:pStyle w:val="Compact"/>
              <w:jc w:val="left"/>
            </w:pPr>
            <w:r>
              <w:t xml:space="preserve">Asistencia técnica para ampliación</w:t>
            </w:r>
          </w:p>
        </w:tc>
        <w:tc>
          <w:p>
            <w:pPr>
              <w:pStyle w:val="Compact"/>
              <w:jc w:val="left"/>
            </w:pPr>
            <w:r>
              <w:t xml:space="preserve">USD 500/vivienda</w:t>
            </w:r>
          </w:p>
        </w:tc>
        <w:tc>
          <w:p>
            <w:pPr>
              <w:pStyle w:val="Compact"/>
              <w:jc w:val="left"/>
            </w:pPr>
            <w:r>
              <w:t xml:space="preserve">USD 15 millones</w:t>
            </w:r>
          </w:p>
        </w:tc>
      </w:tr>
      <w:tr>
        <w:tc>
          <w:p>
            <w:pPr>
              <w:pStyle w:val="Compact"/>
              <w:jc w:val="left"/>
            </w:pPr>
            <w:r>
              <w:t xml:space="preserve">Espacios comunitarios (1 cada 50 viviendas)</w:t>
            </w:r>
          </w:p>
        </w:tc>
        <w:tc>
          <w:p>
            <w:pPr>
              <w:pStyle w:val="Compact"/>
              <w:jc w:val="left"/>
            </w:pPr>
            <w:r>
              <w:t xml:space="preserve">USD 1.500/vivienda prorrateado</w:t>
            </w:r>
          </w:p>
        </w:tc>
        <w:tc>
          <w:p>
            <w:pPr>
              <w:pStyle w:val="Compact"/>
              <w:jc w:val="left"/>
            </w:pPr>
            <w:r>
              <w:t xml:space="preserve">USD 45 millones</w:t>
            </w:r>
          </w:p>
        </w:tc>
      </w:tr>
      <w:tr>
        <w:tc>
          <w:p>
            <w:pPr>
              <w:pStyle w:val="Compact"/>
              <w:jc w:val="left"/>
            </w:pPr>
            <w:r>
              <w:rPr>
                <w:b/>
              </w:rPr>
              <w:t xml:space="preserve">Total</w:t>
            </w:r>
          </w:p>
        </w:tc>
        <w:tc>
          <w:p/>
        </w:tc>
        <w:tc>
          <w:p>
            <w:pPr>
              <w:pStyle w:val="Compact"/>
              <w:jc w:val="left"/>
            </w:pPr>
            <w:r>
              <w:rPr>
                <w:b/>
              </w:rPr>
              <w:t xml:space="preserve">USD 915 millones (5 años)</w:t>
            </w:r>
          </w:p>
        </w:tc>
      </w:tr>
      <w:tr>
        <w:tc>
          <w:p>
            <w:pPr>
              <w:pStyle w:val="Compact"/>
              <w:jc w:val="left"/>
            </w:pPr>
            <w:r>
              <w:rPr>
                <w:b/>
              </w:rPr>
              <w:t xml:space="preserve">Costo por vivienda</w:t>
            </w:r>
          </w:p>
        </w:tc>
        <w:tc>
          <w:p/>
        </w:tc>
        <w:tc>
          <w:p>
            <w:pPr>
              <w:pStyle w:val="Compact"/>
              <w:jc w:val="left"/>
            </w:pPr>
            <w:r>
              <w:rPr>
                <w:b/>
              </w:rPr>
              <w:t xml:space="preserve">USD 30.500</w:t>
            </w:r>
          </w:p>
        </w:tc>
      </w:tr>
    </w:tbl>
    <w:p>
      <w:pPr>
        <w:pStyle w:val="BodyText"/>
      </w:pPr>
      <w:r>
        <w:rPr>
          <w:i/>
        </w:rPr>
        <w:t xml:space="preserve">Nota: El valor final de la vivienda ampliada (con la inversión de la familia) se estima en USD 45.000-55.000 — un retorno de 1,5-1,8x sobre la inversión pública.</w:t>
      </w:r>
    </w:p>
    <w:p>
      <w:pPr>
        <w:pStyle w:val="Heading3"/>
      </w:pPr>
      <w:bookmarkStart w:id="43" w:name="financiamiento-2"/>
      <w:r>
        <w:t xml:space="preserve">Financiamiento</w:t>
      </w:r>
      <w:bookmarkEnd w:id="43"/>
    </w:p>
    <w:p>
      <w:pPr>
        <w:numPr>
          <w:ilvl w:val="0"/>
          <w:numId w:val="1003"/>
        </w:numPr>
        <w:pStyle w:val="Compact"/>
      </w:pPr>
      <w:r>
        <w:rPr>
          <w:b/>
        </w:rPr>
        <w:t xml:space="preserve">40% — Bonos verdes:</w:t>
      </w:r>
      <w:r>
        <w:t xml:space="preserve"> </w:t>
      </w:r>
      <w:r>
        <w:t xml:space="preserve">USD 366 millones (los paneles solares y la eficiencia energética califican perfectamente)</w:t>
      </w:r>
    </w:p>
    <w:p>
      <w:pPr>
        <w:numPr>
          <w:ilvl w:val="0"/>
          <w:numId w:val="1003"/>
        </w:numPr>
        <w:pStyle w:val="Compact"/>
      </w:pPr>
      <w:r>
        <w:rPr>
          <w:b/>
        </w:rPr>
        <w:t xml:space="preserve">30% — BID/CAF:</w:t>
      </w:r>
      <w:r>
        <w:t xml:space="preserve"> </w:t>
      </w:r>
      <w:r>
        <w:t xml:space="preserve">USD 274,5 millones</w:t>
      </w:r>
    </w:p>
    <w:p>
      <w:pPr>
        <w:numPr>
          <w:ilvl w:val="0"/>
          <w:numId w:val="1003"/>
        </w:numPr>
        <w:pStyle w:val="Compact"/>
      </w:pPr>
      <w:r>
        <w:rPr>
          <w:b/>
        </w:rPr>
        <w:t xml:space="preserve">20% — Presupuesto nacional:</w:t>
      </w:r>
      <w:r>
        <w:t xml:space="preserve"> </w:t>
      </w:r>
      <w:r>
        <w:t xml:space="preserve">USD 183 millones en 5 años (USD 36,6M/año)</w:t>
      </w:r>
    </w:p>
    <w:p>
      <w:pPr>
        <w:numPr>
          <w:ilvl w:val="0"/>
          <w:numId w:val="1003"/>
        </w:numPr>
        <w:pStyle w:val="Compact"/>
      </w:pPr>
      <w:r>
        <w:rPr>
          <w:b/>
        </w:rPr>
        <w:t xml:space="preserve">10% — Fondo Verde para el Clima (GCF):</w:t>
      </w:r>
      <w:r>
        <w:t xml:space="preserve"> </w:t>
      </w:r>
      <w:r>
        <w:t xml:space="preserve">USD 91,5 millones (donación/préstamo blando para componente climático)</w:t>
      </w:r>
    </w:p>
    <w:p>
      <w:pPr>
        <w:pStyle w:val="Heading3"/>
      </w:pPr>
      <w:bookmarkStart w:id="44" w:name="diálogo-con-el-marco-teórico-2"/>
      <w:r>
        <w:t xml:space="preserve">Diálogo con el marco teórico</w:t>
      </w:r>
      <w:bookmarkEnd w:id="44"/>
    </w:p>
    <w:p>
      <w:pPr>
        <w:pStyle w:val="FirstParagraph"/>
      </w:pPr>
      <w:r>
        <w:t xml:space="preserve">Esta política dialoga directamente con</w:t>
      </w:r>
      <w:r>
        <w:t xml:space="preserve"> </w:t>
      </w:r>
      <w:r>
        <w:rPr>
          <w:b/>
        </w:rPr>
        <w:t xml:space="preserve">Kate Raworth</w:t>
      </w:r>
      <w:r>
        <w:t xml:space="preserve">: el piso social (vivienda digna) se garantiza desde el Estado, pero no se excede el techo ambiental porque la vivienda genera su propia energía limpia. Es la dona en forma de casa.</w:t>
      </w:r>
    </w:p>
    <w:p>
      <w:pPr>
        <w:pStyle w:val="BodyText"/>
      </w:pPr>
      <w:r>
        <w:t xml:space="preserve">Conecta con la</w:t>
      </w:r>
      <w:r>
        <w:t xml:space="preserve"> </w:t>
      </w:r>
      <w:r>
        <w:rPr>
          <w:b/>
        </w:rPr>
        <w:t xml:space="preserve">economía circular</w:t>
      </w:r>
      <w:r>
        <w:t xml:space="preserve"> </w:t>
      </w:r>
      <w:r>
        <w:t xml:space="preserve">de Ellen MacArthur: la vivienda está diseñada para crecer, no para demolerse. No hay desperdicio — cada metro cuadrado inicial es parte del diseño final.</w:t>
      </w:r>
    </w:p>
    <w:p>
      <w:pPr>
        <w:pStyle w:val="BodyText"/>
      </w:pPr>
      <w:r>
        <w:t xml:space="preserve">Se vincula con</w:t>
      </w:r>
      <w:r>
        <w:t xml:space="preserve"> </w:t>
      </w:r>
      <w:r>
        <w:rPr>
          <w:b/>
        </w:rPr>
        <w:t xml:space="preserve">Mariana Mazzucato</w:t>
      </w:r>
      <w:r>
        <w:t xml:space="preserve"> </w:t>
      </w:r>
      <w:r>
        <w:t xml:space="preserve">y las misiones: el Estado no solo</w:t>
      </w:r>
      <w:r>
        <w:t xml:space="preserve"> </w:t>
      </w:r>
      <w:r>
        <w:t xml:space="preserve">“</w:t>
      </w:r>
      <w:r>
        <w:t xml:space="preserve">gasta</w:t>
      </w:r>
      <w:r>
        <w:t xml:space="preserve">”</w:t>
      </w:r>
      <w:r>
        <w:t xml:space="preserve"> </w:t>
      </w:r>
      <w:r>
        <w:t xml:space="preserve">en vivienda, sino que cataliza inversión privada (la familia invierte en la ampliación), genera mercado para paneles solares, crea demanda de materiales de construcción local y forma mano de obra. Es el Estado emprendedor.</w:t>
      </w:r>
    </w:p>
    <w:p>
      <w:pPr>
        <w:pStyle w:val="BodyText"/>
      </w:pPr>
      <w:r>
        <w:t xml:space="preserve">Y encarna la idea de</w:t>
      </w:r>
      <w:r>
        <w:t xml:space="preserve"> </w:t>
      </w:r>
      <w:r>
        <w:rPr>
          <w:b/>
        </w:rPr>
        <w:t xml:space="preserve">confianza en la gente</w:t>
      </w:r>
      <w:r>
        <w:t xml:space="preserve">: el Estado confía en que las familias van a ampliar con buen criterio (y les da herramientas para hacerlo). No es paternalismo, es asociación.</w:t>
      </w:r>
    </w:p>
    <w:p>
      <w:pPr>
        <w:pStyle w:val="BodyText"/>
      </w:pPr>
      <w:r>
        <w:t xml:space="preserve">La energía solar añade un componente de</w:t>
      </w:r>
      <w:r>
        <w:t xml:space="preserve"> </w:t>
      </w:r>
      <w:r>
        <w:rPr>
          <w:b/>
        </w:rPr>
        <w:t xml:space="preserve">justicia energética</w:t>
      </w:r>
      <w:r>
        <w:t xml:space="preserve">: las familias más pobres, que hoy gastan proporcionalmente más en energía, pasan a ser productoras. Es redistributivo sin ser asistencialista.</w:t>
      </w:r>
    </w:p>
    <w:p>
      <w:r>
        <w:pict>
          <v:rect style="width:0;height:1.5pt" o:hralign="center" o:hrstd="t" o:hr="t"/>
        </w:pict>
      </w:r>
    </w:p>
    <w:p>
      <w:pPr>
        <w:pStyle w:val="Heading2"/>
      </w:pPr>
      <w:bookmarkStart w:id="45" w:name="X734e343c3686145101becf7bbaaadd32ed289f6"/>
      <w:r>
        <w:t xml:space="preserve">Política 4: Barrios Intergeneracionales y de Cuidado</w:t>
      </w:r>
      <w:bookmarkEnd w:id="45"/>
    </w:p>
    <w:p>
      <w:pPr>
        <w:pStyle w:val="FirstParagraph"/>
      </w:pPr>
      <w:r>
        <w:rPr>
          <w:i/>
        </w:rPr>
        <w:t xml:space="preserve">Inspirada en Singapur (HDB intergeneracional), Dinamarca (cohousing), y el modelo de cuidado comunitario nórdico</w:t>
      </w:r>
    </w:p>
    <w:p>
      <w:pPr>
        <w:pStyle w:val="Heading3"/>
      </w:pPr>
      <w:bookmarkStart w:id="46" w:name="qué-es-3"/>
      <w:r>
        <w:t xml:space="preserve">Qué es</w:t>
      </w:r>
      <w:bookmarkEnd w:id="46"/>
    </w:p>
    <w:p>
      <w:pPr>
        <w:pStyle w:val="FirstParagraph"/>
      </w:pPr>
      <w:r>
        <w:t xml:space="preserve">Un nuevo tipo de desarrollo habitacional pensado para que convivan personas mayores, familias jóvenes con niños, personas con discapacidad y jóvenes solos. El diseño arquitectónico incluye patios compartidos donde los jardines de infantes y los centros de día para adultos mayores comparten espacios — dando</w:t>
      </w:r>
      <w:r>
        <w:t xml:space="preserve"> </w:t>
      </w:r>
      <w:r>
        <w:t xml:space="preserve">“</w:t>
      </w:r>
      <w:r>
        <w:t xml:space="preserve">abuelos</w:t>
      </w:r>
      <w:r>
        <w:t xml:space="preserve">”</w:t>
      </w:r>
      <w:r>
        <w:t xml:space="preserve"> </w:t>
      </w:r>
      <w:r>
        <w:t xml:space="preserve">a niños que no los tienen y</w:t>
      </w:r>
      <w:r>
        <w:t xml:space="preserve"> </w:t>
      </w:r>
      <w:r>
        <w:t xml:space="preserve">“</w:t>
      </w:r>
      <w:r>
        <w:t xml:space="preserve">nietos</w:t>
      </w:r>
      <w:r>
        <w:t xml:space="preserve">”</w:t>
      </w:r>
      <w:r>
        <w:t xml:space="preserve"> </w:t>
      </w:r>
      <w:r>
        <w:t xml:space="preserve">a personas mayores que están solas.</w:t>
      </w:r>
    </w:p>
    <w:p>
      <w:pPr>
        <w:pStyle w:val="BodyText"/>
      </w:pPr>
      <w:r>
        <w:t xml:space="preserve">Incluye: viviendas accesibles (diseño universal), guardería comunitaria, centro de día para personas mayores, consultorio de atención primaria de salud, huerta terapéutica, y espacios de coworking para quienes trabajan desde casa.</w:t>
      </w:r>
    </w:p>
    <w:p>
      <w:pPr>
        <w:pStyle w:val="Heading3"/>
      </w:pPr>
      <w:bookmarkStart w:id="47" w:name="por-qué-esta-política-3"/>
      <w:r>
        <w:t xml:space="preserve">Por qué esta política</w:t>
      </w:r>
      <w:bookmarkEnd w:id="47"/>
    </w:p>
    <w:p>
      <w:pPr>
        <w:pStyle w:val="FirstParagraph"/>
      </w:pPr>
      <w:r>
        <w:t xml:space="preserve">En Singapur, los complejos HDB intergeneracionales demostraron que cuando adultos mayores e infantes comparten espacios, bajan los indicadores de depresión en mayores, mejora el desarrollo cognitivo y emocional de los niños, y se reduce el costo de cuidado para las familias (porque los mayores participan voluntariamente del cuidado informal).</w:t>
      </w:r>
    </w:p>
    <w:p>
      <w:pPr>
        <w:pStyle w:val="BodyText"/>
      </w:pPr>
      <w:r>
        <w:t xml:space="preserve">En Dinamarca, el cohousing (bofællesskab) tiene 50 años de historia: comunidades de 20-40 viviendas con cocina comunitaria, lavandería compartida, taller, huerta. Los residentes cenan juntos varias veces por semana. La soledad — epidemia del siglo XXI — se reduce drásticamente.</w:t>
      </w:r>
    </w:p>
    <w:p>
      <w:pPr>
        <w:pStyle w:val="BodyText"/>
      </w:pPr>
      <w:r>
        <w:t xml:space="preserve">Argentina tiene 359.000 adultos mayores inquilinos (cifra que se duplicó en 20 años), 1,6 millones de madres solteras, y una necesidad enorme de infraestructura de cuidado. Esta política resuelve tres problemas a la vez: vivienda, cuidado y soledad.</w:t>
      </w:r>
    </w:p>
    <w:p>
      <w:pPr>
        <w:pStyle w:val="Heading3"/>
      </w:pPr>
      <w:bookmarkStart w:id="48" w:name="diseño-para-argentina-3"/>
      <w:r>
        <w:t xml:space="preserve">Diseño para Argentina</w:t>
      </w:r>
      <w:bookmarkEnd w:id="48"/>
    </w:p>
    <w:p>
      <w:pPr>
        <w:pStyle w:val="FirstParagraph"/>
      </w:pPr>
      <w:r>
        <w:rPr>
          <w:b/>
        </w:rPr>
        <w:t xml:space="preserve">Cada Barrio Intergeneracional (BI) incluye:</w:t>
      </w:r>
      <w:r>
        <w:t xml:space="preserve"> </w:t>
      </w:r>
      <w:r>
        <w:t xml:space="preserve">- 60 viviendas mixtas: 20 para personas mayores (1-2 amb.), 25 para familias (2-3 amb.), 10 para personas con discapacidad (adaptadas), 5 para jóvenes solos</w:t>
      </w:r>
      <w:r>
        <w:t xml:space="preserve"> </w:t>
      </w:r>
      <w:r>
        <w:t xml:space="preserve">- Jardín de infantes con capacidad para 40 niños (compartido con el centro de día)</w:t>
      </w:r>
      <w:r>
        <w:t xml:space="preserve"> </w:t>
      </w:r>
      <w:r>
        <w:t xml:space="preserve">- Centro de día para 30 adultos mayores</w:t>
      </w:r>
      <w:r>
        <w:t xml:space="preserve"> </w:t>
      </w:r>
      <w:r>
        <w:t xml:space="preserve">- Consultorio de atención primaria (1 médico, 1 enfermero, 1 psicólogo)</w:t>
      </w:r>
      <w:r>
        <w:t xml:space="preserve"> </w:t>
      </w:r>
      <w:r>
        <w:t xml:space="preserve">- Huerta comunitaria con sector terapéutico</w:t>
      </w:r>
      <w:r>
        <w:t xml:space="preserve"> </w:t>
      </w:r>
      <w:r>
        <w:t xml:space="preserve">- Cocina y comedor comunitario (cenas compartidas 3 veces/semana)</w:t>
      </w:r>
      <w:r>
        <w:t xml:space="preserve"> </w:t>
      </w:r>
      <w:r>
        <w:t xml:space="preserve">- Espacio de coworking con WiFi</w:t>
      </w:r>
      <w:r>
        <w:t xml:space="preserve"> </w:t>
      </w:r>
      <w:r>
        <w:t xml:space="preserve">- Paneles solares comunitarios</w:t>
      </w:r>
      <w:r>
        <w:t xml:space="preserve"> </w:t>
      </w:r>
      <w:r>
        <w:t xml:space="preserve">- Diseño 100% accesible (rampas, ascensor si hay más de 1 piso, señalización para personas con baja visión)</w:t>
      </w:r>
    </w:p>
    <w:p>
      <w:pPr>
        <w:pStyle w:val="BodyText"/>
      </w:pPr>
      <w:r>
        <w:rPr>
          <w:b/>
        </w:rPr>
        <w:t xml:space="preserve">Meta:</w:t>
      </w:r>
      <w:r>
        <w:t xml:space="preserve"> </w:t>
      </w:r>
      <w:r>
        <w:rPr>
          <w:b/>
        </w:rPr>
        <w:t xml:space="preserve">100 Barrios Intergeneracionales</w:t>
      </w:r>
      <w:r>
        <w:t xml:space="preserve"> </w:t>
      </w:r>
      <w:r>
        <w:t xml:space="preserve">en 5 años =</w:t>
      </w:r>
      <w:r>
        <w:t xml:space="preserve"> </w:t>
      </w:r>
      <w:r>
        <w:rPr>
          <w:b/>
        </w:rPr>
        <w:t xml:space="preserve">6.000 viviendas</w:t>
      </w:r>
      <w:r>
        <w:t xml:space="preserve"> </w:t>
      </w:r>
      <w:r>
        <w:t xml:space="preserve">(priorizando ciudades intermedias y conurbano)</w:t>
      </w:r>
    </w:p>
    <w:p>
      <w:pPr>
        <w:pStyle w:val="Heading3"/>
      </w:pPr>
      <w:bookmarkStart w:id="49" w:name="costeo-3"/>
      <w:r>
        <w:t xml:space="preserve">Costeo</w:t>
      </w:r>
      <w:bookmarkEnd w:id="49"/>
    </w:p>
    <w:tbl>
      <w:tblPr>
        <w:tblStyle w:val="Table"/>
        <w:tblW w:type="pct" w:w="5000.0"/>
        <w:tblLook w:firstRow="1"/>
      </w:tblPr>
      <w:tblGrid>
        <w:gridCol w:w="1342"/>
        <w:gridCol w:w="2013"/>
        <w:gridCol w:w="4564"/>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Costo unitario</w:t>
            </w:r>
          </w:p>
        </w:tc>
        <w:tc>
          <w:tcPr>
            <w:tcBorders>
              <w:bottom w:val="single"/>
            </w:tcBorders>
            <w:vAlign w:val="bottom"/>
          </w:tcPr>
          <w:p>
            <w:pPr>
              <w:pStyle w:val="Compact"/>
              <w:jc w:val="left"/>
            </w:pPr>
            <w:r>
              <w:t xml:space="preserve">Total (100 BI, 6.000 viviendas)</w:t>
            </w:r>
          </w:p>
        </w:tc>
      </w:tr>
      <w:tr>
        <w:tc>
          <w:p>
            <w:pPr>
              <w:pStyle w:val="Compact"/>
              <w:jc w:val="left"/>
            </w:pPr>
            <w:r>
              <w:t xml:space="preserve">Construcción viviendas (promedio 65 m², accesibles)</w:t>
            </w:r>
          </w:p>
        </w:tc>
        <w:tc>
          <w:p>
            <w:pPr>
              <w:pStyle w:val="Compact"/>
              <w:jc w:val="left"/>
            </w:pPr>
            <w:r>
              <w:t xml:space="preserve">USD 35.000</w:t>
            </w:r>
          </w:p>
        </w:tc>
        <w:tc>
          <w:p>
            <w:pPr>
              <w:pStyle w:val="Compact"/>
              <w:jc w:val="left"/>
            </w:pPr>
            <w:r>
              <w:t xml:space="preserve">USD 210 millones</w:t>
            </w:r>
          </w:p>
        </w:tc>
      </w:tr>
      <w:tr>
        <w:tc>
          <w:p>
            <w:pPr>
              <w:pStyle w:val="Compact"/>
              <w:jc w:val="left"/>
            </w:pPr>
            <w:r>
              <w:t xml:space="preserve">Terreno y habilitación</w:t>
            </w:r>
          </w:p>
        </w:tc>
        <w:tc>
          <w:p>
            <w:pPr>
              <w:pStyle w:val="Compact"/>
              <w:jc w:val="left"/>
            </w:pPr>
            <w:r>
              <w:t xml:space="preserve">USD 5.000/vivienda</w:t>
            </w:r>
          </w:p>
        </w:tc>
        <w:tc>
          <w:p>
            <w:pPr>
              <w:pStyle w:val="Compact"/>
              <w:jc w:val="left"/>
            </w:pPr>
            <w:r>
              <w:t xml:space="preserve">USD 30 millones</w:t>
            </w:r>
          </w:p>
        </w:tc>
      </w:tr>
      <w:tr>
        <w:tc>
          <w:p>
            <w:pPr>
              <w:pStyle w:val="Compact"/>
              <w:jc w:val="left"/>
            </w:pPr>
            <w:r>
              <w:t xml:space="preserve">Jardín de infantes + Centro de día (100 unidades)</w:t>
            </w:r>
          </w:p>
        </w:tc>
        <w:tc>
          <w:p>
            <w:pPr>
              <w:pStyle w:val="Compact"/>
              <w:jc w:val="left"/>
            </w:pPr>
            <w:r>
              <w:t xml:space="preserve">USD 300.000/BI</w:t>
            </w:r>
          </w:p>
        </w:tc>
        <w:tc>
          <w:p>
            <w:pPr>
              <w:pStyle w:val="Compact"/>
              <w:jc w:val="left"/>
            </w:pPr>
            <w:r>
              <w:t xml:space="preserve">USD 30 millones</w:t>
            </w:r>
          </w:p>
        </w:tc>
      </w:tr>
      <w:tr>
        <w:tc>
          <w:p>
            <w:pPr>
              <w:pStyle w:val="Compact"/>
              <w:jc w:val="left"/>
            </w:pPr>
            <w:r>
              <w:t xml:space="preserve">Consultorio salud (100 unidades)</w:t>
            </w:r>
          </w:p>
        </w:tc>
        <w:tc>
          <w:p>
            <w:pPr>
              <w:pStyle w:val="Compact"/>
              <w:jc w:val="left"/>
            </w:pPr>
            <w:r>
              <w:t xml:space="preserve">USD 150.000/BI</w:t>
            </w:r>
          </w:p>
        </w:tc>
        <w:tc>
          <w:p>
            <w:pPr>
              <w:pStyle w:val="Compact"/>
              <w:jc w:val="left"/>
            </w:pPr>
            <w:r>
              <w:t xml:space="preserve">USD 15 millones</w:t>
            </w:r>
          </w:p>
        </w:tc>
      </w:tr>
      <w:tr>
        <w:tc>
          <w:p>
            <w:pPr>
              <w:pStyle w:val="Compact"/>
              <w:jc w:val="left"/>
            </w:pPr>
            <w:r>
              <w:t xml:space="preserve">Espacios comunitarios (cocina, cowork, huerta)</w:t>
            </w:r>
          </w:p>
        </w:tc>
        <w:tc>
          <w:p>
            <w:pPr>
              <w:pStyle w:val="Compact"/>
              <w:jc w:val="left"/>
            </w:pPr>
            <w:r>
              <w:t xml:space="preserve">USD 200.000/BI</w:t>
            </w:r>
          </w:p>
        </w:tc>
        <w:tc>
          <w:p>
            <w:pPr>
              <w:pStyle w:val="Compact"/>
              <w:jc w:val="left"/>
            </w:pPr>
            <w:r>
              <w:t xml:space="preserve">USD 20 millones</w:t>
            </w:r>
          </w:p>
        </w:tc>
      </w:tr>
      <w:tr>
        <w:tc>
          <w:p>
            <w:pPr>
              <w:pStyle w:val="Compact"/>
              <w:jc w:val="left"/>
            </w:pPr>
            <w:r>
              <w:t xml:space="preserve">Paneles solares comunitarios</w:t>
            </w:r>
          </w:p>
        </w:tc>
        <w:tc>
          <w:p>
            <w:pPr>
              <w:pStyle w:val="Compact"/>
              <w:jc w:val="left"/>
            </w:pPr>
            <w:r>
              <w:t xml:space="preserve">USD 2.000/vivienda</w:t>
            </w:r>
          </w:p>
        </w:tc>
        <w:tc>
          <w:p>
            <w:pPr>
              <w:pStyle w:val="Compact"/>
              <w:jc w:val="left"/>
            </w:pPr>
            <w:r>
              <w:t xml:space="preserve">USD 12 millones</w:t>
            </w:r>
          </w:p>
        </w:tc>
      </w:tr>
      <w:tr>
        <w:tc>
          <w:p>
            <w:pPr>
              <w:pStyle w:val="Compact"/>
              <w:jc w:val="left"/>
            </w:pPr>
            <w:r>
              <w:t xml:space="preserve">Diseño accesible (costo adicional)</w:t>
            </w:r>
          </w:p>
        </w:tc>
        <w:tc>
          <w:p>
            <w:pPr>
              <w:pStyle w:val="Compact"/>
              <w:jc w:val="left"/>
            </w:pPr>
            <w:r>
              <w:t xml:space="preserve">USD 3.000/vivienda</w:t>
            </w:r>
          </w:p>
        </w:tc>
        <w:tc>
          <w:p>
            <w:pPr>
              <w:pStyle w:val="Compact"/>
              <w:jc w:val="left"/>
            </w:pPr>
            <w:r>
              <w:t xml:space="preserve">USD 18 millones</w:t>
            </w:r>
          </w:p>
        </w:tc>
      </w:tr>
      <w:tr>
        <w:tc>
          <w:p>
            <w:pPr>
              <w:pStyle w:val="Compact"/>
              <w:jc w:val="left"/>
            </w:pPr>
            <w:r>
              <w:t xml:space="preserve">Operación de servicios (5 años)</w:t>
            </w:r>
          </w:p>
        </w:tc>
        <w:tc>
          <w:p>
            <w:pPr>
              <w:pStyle w:val="Compact"/>
              <w:jc w:val="left"/>
            </w:pPr>
            <w:r>
              <w:t xml:space="preserve">USD 80.000/BI/año</w:t>
            </w:r>
          </w:p>
        </w:tc>
        <w:tc>
          <w:p>
            <w:pPr>
              <w:pStyle w:val="Compact"/>
              <w:jc w:val="left"/>
            </w:pPr>
            <w:r>
              <w:t xml:space="preserve">USD 40 millones</w:t>
            </w:r>
          </w:p>
        </w:tc>
      </w:tr>
      <w:tr>
        <w:tc>
          <w:p>
            <w:pPr>
              <w:pStyle w:val="Compact"/>
              <w:jc w:val="left"/>
            </w:pPr>
            <w:r>
              <w:rPr>
                <w:b/>
              </w:rPr>
              <w:t xml:space="preserve">Total</w:t>
            </w:r>
          </w:p>
        </w:tc>
        <w:tc>
          <w:p/>
        </w:tc>
        <w:tc>
          <w:p>
            <w:pPr>
              <w:pStyle w:val="Compact"/>
              <w:jc w:val="left"/>
            </w:pPr>
            <w:r>
              <w:rPr>
                <w:b/>
              </w:rPr>
              <w:t xml:space="preserve">USD 375 millones (5 años)</w:t>
            </w:r>
          </w:p>
        </w:tc>
      </w:tr>
      <w:tr>
        <w:tc>
          <w:p>
            <w:pPr>
              <w:pStyle w:val="Compact"/>
              <w:jc w:val="left"/>
            </w:pPr>
            <w:r>
              <w:rPr>
                <w:b/>
              </w:rPr>
              <w:t xml:space="preserve">Costo por vivienda</w:t>
            </w:r>
          </w:p>
        </w:tc>
        <w:tc>
          <w:p/>
        </w:tc>
        <w:tc>
          <w:p>
            <w:pPr>
              <w:pStyle w:val="Compact"/>
              <w:jc w:val="left"/>
            </w:pPr>
            <w:r>
              <w:rPr>
                <w:b/>
              </w:rPr>
              <w:t xml:space="preserve">USD 62.500</w:t>
            </w:r>
          </w:p>
        </w:tc>
      </w:tr>
    </w:tbl>
    <w:p>
      <w:pPr>
        <w:pStyle w:val="BodyText"/>
      </w:pPr>
      <w:r>
        <w:rPr>
          <w:i/>
        </w:rPr>
        <w:t xml:space="preserve">Nota: Es la política más cara por vivienda, pero resuelve vivienda + salud + cuidado infantil + cuidado de adultos mayores + inclusión de discapacidad. Si se costean esos servicios por separado, el ahorro es enorme.</w:t>
      </w:r>
    </w:p>
    <w:p>
      <w:pPr>
        <w:pStyle w:val="Heading3"/>
      </w:pPr>
      <w:bookmarkStart w:id="50" w:name="financiamiento-3"/>
      <w:r>
        <w:t xml:space="preserve">Financiamiento</w:t>
      </w:r>
      <w:bookmarkEnd w:id="50"/>
    </w:p>
    <w:p>
      <w:pPr>
        <w:numPr>
          <w:ilvl w:val="0"/>
          <w:numId w:val="1004"/>
        </w:numPr>
        <w:pStyle w:val="Compact"/>
      </w:pPr>
      <w:r>
        <w:rPr>
          <w:b/>
        </w:rPr>
        <w:t xml:space="preserve">30% — BID (componente inclusión social):</w:t>
      </w:r>
      <w:r>
        <w:t xml:space="preserve"> </w:t>
      </w:r>
      <w:r>
        <w:t xml:space="preserve">USD 112,5 millones</w:t>
      </w:r>
    </w:p>
    <w:p>
      <w:pPr>
        <w:numPr>
          <w:ilvl w:val="0"/>
          <w:numId w:val="1004"/>
        </w:numPr>
        <w:pStyle w:val="Compact"/>
      </w:pPr>
      <w:r>
        <w:rPr>
          <w:b/>
        </w:rPr>
        <w:t xml:space="preserve">25% — Bonos de impacto social (SIB):</w:t>
      </w:r>
      <w:r>
        <w:t xml:space="preserve"> </w:t>
      </w:r>
      <w:r>
        <w:t xml:space="preserve">USD 93,75 millones (inversores privados que cobran según resultados medibles: reducción de hospitalización de mayores, mejora en desarrollo infantil)</w:t>
      </w:r>
    </w:p>
    <w:p>
      <w:pPr>
        <w:numPr>
          <w:ilvl w:val="0"/>
          <w:numId w:val="1004"/>
        </w:numPr>
        <w:pStyle w:val="Compact"/>
      </w:pPr>
      <w:r>
        <w:rPr>
          <w:b/>
        </w:rPr>
        <w:t xml:space="preserve">20% — Presupuesto de Desarrollo Social + Salud + Educación (articulación interministerial):</w:t>
      </w:r>
      <w:r>
        <w:t xml:space="preserve"> </w:t>
      </w:r>
      <w:r>
        <w:t xml:space="preserve">USD 75 millones</w:t>
      </w:r>
    </w:p>
    <w:p>
      <w:pPr>
        <w:numPr>
          <w:ilvl w:val="0"/>
          <w:numId w:val="1004"/>
        </w:numPr>
        <w:pStyle w:val="Compact"/>
      </w:pPr>
      <w:r>
        <w:rPr>
          <w:b/>
        </w:rPr>
        <w:t xml:space="preserve">15% — Fondo Verde para el Clima:</w:t>
      </w:r>
      <w:r>
        <w:t xml:space="preserve"> </w:t>
      </w:r>
      <w:r>
        <w:t xml:space="preserve">USD 56,25 millones (componente energético y adaptación)</w:t>
      </w:r>
    </w:p>
    <w:p>
      <w:pPr>
        <w:numPr>
          <w:ilvl w:val="0"/>
          <w:numId w:val="1004"/>
        </w:numPr>
        <w:pStyle w:val="Compact"/>
      </w:pPr>
      <w:r>
        <w:rPr>
          <w:b/>
        </w:rPr>
        <w:t xml:space="preserve">10% — Gobiernos provinciales:</w:t>
      </w:r>
      <w:r>
        <w:t xml:space="preserve"> </w:t>
      </w:r>
      <w:r>
        <w:t xml:space="preserve">USD 37,5 millones</w:t>
      </w:r>
    </w:p>
    <w:p>
      <w:pPr>
        <w:pStyle w:val="Heading3"/>
      </w:pPr>
      <w:bookmarkStart w:id="51" w:name="diálogo-con-el-marco-teórico-3"/>
      <w:r>
        <w:t xml:space="preserve">Diálogo con el marco teórico</w:t>
      </w:r>
      <w:bookmarkEnd w:id="51"/>
    </w:p>
    <w:p>
      <w:pPr>
        <w:pStyle w:val="FirstParagraph"/>
      </w:pPr>
      <w:r>
        <w:t xml:space="preserve">Esta política es donde la visión se vuelve más profunda. Es</w:t>
      </w:r>
      <w:r>
        <w:t xml:space="preserve"> </w:t>
      </w:r>
      <w:r>
        <w:rPr>
          <w:b/>
        </w:rPr>
        <w:t xml:space="preserve">economía del cuidado</w:t>
      </w:r>
      <w:r>
        <w:t xml:space="preserve"> </w:t>
      </w:r>
      <w:r>
        <w:t xml:space="preserve">hecha arquitectura: la idea de que cuidar es una forma de producir valor, y que una sociedad que cuida bien a sus mayores, sus niños y sus personas con discapacidad es una sociedad más próspera, aunque eso no aparezca en el PBI.</w:t>
      </w:r>
    </w:p>
    <w:p>
      <w:pPr>
        <w:pStyle w:val="BodyText"/>
      </w:pPr>
      <w:r>
        <w:t xml:space="preserve">Conecta con</w:t>
      </w:r>
      <w:r>
        <w:t xml:space="preserve"> </w:t>
      </w:r>
      <w:r>
        <w:rPr>
          <w:b/>
        </w:rPr>
        <w:t xml:space="preserve">Nancy Fraser</w:t>
      </w:r>
      <w:r>
        <w:t xml:space="preserve"> </w:t>
      </w:r>
      <w:r>
        <w:t xml:space="preserve">y la justicia del cuidado: hoy en Argentina, el cuidado recae desproporcionadamente sobre las mujeres pobres. Un Barrio Intergeneracional redistribuye esa carga: hay guardería, hay centro de día, hay comunidad que ayuda.</w:t>
      </w:r>
    </w:p>
    <w:p>
      <w:pPr>
        <w:pStyle w:val="BodyText"/>
      </w:pPr>
      <w:r>
        <w:t xml:space="preserve">Se vincula con</w:t>
      </w:r>
      <w:r>
        <w:t xml:space="preserve"> </w:t>
      </w:r>
      <w:r>
        <w:rPr>
          <w:b/>
        </w:rPr>
        <w:t xml:space="preserve">Silvia Federici</w:t>
      </w:r>
      <w:r>
        <w:t xml:space="preserve"> </w:t>
      </w:r>
      <w:r>
        <w:t xml:space="preserve">y la reproducción social: sin trabajo de cuidado no hay economía posible, y esta política lo reconoce y lo sostiene con infraestructura pública.</w:t>
      </w:r>
    </w:p>
    <w:p>
      <w:pPr>
        <w:pStyle w:val="BodyText"/>
      </w:pPr>
      <w:r>
        <w:t xml:space="preserve">Dialoga con la</w:t>
      </w:r>
      <w:r>
        <w:t xml:space="preserve"> </w:t>
      </w:r>
      <w:r>
        <w:rPr>
          <w:b/>
        </w:rPr>
        <w:t xml:space="preserve">economía del bien común</w:t>
      </w:r>
      <w:r>
        <w:t xml:space="preserve"> </w:t>
      </w:r>
      <w:r>
        <w:t xml:space="preserve">de Christian Felber: el éxito de estos barrios no se mide por rentabilidad sino por indicadores de bienestar — ¿los mayores están menos solos? ¿Los niños se desarrollan mejor? ¿Las personas con discapacidad pueden moverse libremente?</w:t>
      </w:r>
    </w:p>
    <w:p>
      <w:pPr>
        <w:pStyle w:val="BodyText"/>
      </w:pPr>
      <w:r>
        <w:t xml:space="preserve">Y toca algo muy profundo: la idea de que</w:t>
      </w:r>
      <w:r>
        <w:t xml:space="preserve"> </w:t>
      </w:r>
      <w:r>
        <w:rPr>
          <w:b/>
        </w:rPr>
        <w:t xml:space="preserve">la soledad es una forma de pobreza</w:t>
      </w:r>
      <w:r>
        <w:t xml:space="preserve">. Un adulto mayor con jubilación mínima en un departamento solo es pobre de dos maneras: de dinero y de compañía. Un Barrio Intergeneracional aborda ambas.</w:t>
      </w:r>
    </w:p>
    <w:p>
      <w:r>
        <w:pict>
          <v:rect style="width:0;height:1.5pt" o:hralign="center" o:hrstd="t" o:hr="t"/>
        </w:pict>
      </w:r>
    </w:p>
    <w:p>
      <w:pPr>
        <w:pStyle w:val="Heading2"/>
      </w:pPr>
      <w:bookmarkStart w:id="52" w:name="Xb2f10acf8feef8b7f5c4bfe9ff8554b56de3700"/>
      <w:r>
        <w:t xml:space="preserve">Política 5: Fondo Soberano de Hábitat con Captura de Valor de Suelo</w:t>
      </w:r>
      <w:bookmarkEnd w:id="52"/>
    </w:p>
    <w:p>
      <w:pPr>
        <w:pStyle w:val="FirstParagraph"/>
      </w:pPr>
      <w:r>
        <w:rPr>
          <w:i/>
        </w:rPr>
        <w:t xml:space="preserve">Inspirada en Viena (Austria), el modelo de land banking, y la valorización colombiana</w:t>
      </w:r>
    </w:p>
    <w:p>
      <w:pPr>
        <w:pStyle w:val="Heading3"/>
      </w:pPr>
      <w:bookmarkStart w:id="53" w:name="qué-es-4"/>
      <w:r>
        <w:t xml:space="preserve">Qué es</w:t>
      </w:r>
      <w:bookmarkEnd w:id="53"/>
    </w:p>
    <w:p>
      <w:pPr>
        <w:pStyle w:val="FirstParagraph"/>
      </w:pPr>
      <w:r>
        <w:t xml:space="preserve">Creación de un</w:t>
      </w:r>
      <w:r>
        <w:t xml:space="preserve"> </w:t>
      </w:r>
      <w:r>
        <w:rPr>
          <w:b/>
        </w:rPr>
        <w:t xml:space="preserve">Fondo Soberano de Hábitat</w:t>
      </w:r>
      <w:r>
        <w:t xml:space="preserve"> </w:t>
      </w:r>
      <w:r>
        <w:t xml:space="preserve">que se financia con tres mecanismos autosustentables:</w:t>
      </w:r>
    </w:p>
    <w:p>
      <w:pPr>
        <w:numPr>
          <w:ilvl w:val="0"/>
          <w:numId w:val="1005"/>
        </w:numPr>
      </w:pPr>
      <w:r>
        <w:rPr>
          <w:b/>
        </w:rPr>
        <w:t xml:space="preserve">Captura de valor del suelo:</w:t>
      </w:r>
      <w:r>
        <w:t xml:space="preserve"> </w:t>
      </w:r>
      <w:r>
        <w:t xml:space="preserve">Cuando el Estado invierte en infraestructura (subte, tren, hospital, parque), el valor de la tierra alrededor sube. Hoy ese aumento se lo quedan los propietarios. El Fondo captura una parte de esa plusvalía para financiar vivienda social.</w:t>
      </w:r>
    </w:p>
    <w:p>
      <w:pPr>
        <w:numPr>
          <w:ilvl w:val="0"/>
          <w:numId w:val="1005"/>
        </w:numPr>
      </w:pPr>
      <w:r>
        <w:rPr>
          <w:b/>
        </w:rPr>
        <w:t xml:space="preserve">Impuesto a viviendas ociosas:</w:t>
      </w:r>
      <w:r>
        <w:t xml:space="preserve"> </w:t>
      </w:r>
      <w:r>
        <w:t xml:space="preserve">Argentina tiene entre 500.000 y 600.000 viviendas vacías (censo 2022). Un impuesto progresivo sobre viviendas vacías por más de 12 meses genera recaudación y presiona al mercado a poner esas viviendas en alquiler.</w:t>
      </w:r>
    </w:p>
    <w:p>
      <w:pPr>
        <w:numPr>
          <w:ilvl w:val="0"/>
          <w:numId w:val="1005"/>
        </w:numPr>
      </w:pPr>
      <w:r>
        <w:rPr>
          <w:b/>
        </w:rPr>
        <w:t xml:space="preserve">Land banking (banco de tierras):</w:t>
      </w:r>
      <w:r>
        <w:t xml:space="preserve"> </w:t>
      </w:r>
      <w:r>
        <w:t xml:space="preserve">El Fondo compra terrenos antes de que se valoricen (en zonas de futura expansión o donde se planifican obras públicas) y los destina a vivienda social cuando el valor sube.</w:t>
      </w:r>
    </w:p>
    <w:p>
      <w:pPr>
        <w:pStyle w:val="FirstParagraph"/>
      </w:pPr>
      <w:r>
        <w:t xml:space="preserve">El Fondo opera como entidad autárquica con directorio mixto (gobierno + universidades + organizaciones sociales) y transparencia total (auditorías públicas, datos abiertos).</w:t>
      </w:r>
    </w:p>
    <w:p>
      <w:pPr>
        <w:pStyle w:val="Heading3"/>
      </w:pPr>
      <w:bookmarkStart w:id="54" w:name="por-qué-esta-política-4"/>
      <w:r>
        <w:t xml:space="preserve">Por qué esta política</w:t>
      </w:r>
      <w:bookmarkEnd w:id="54"/>
    </w:p>
    <w:p>
      <w:pPr>
        <w:pStyle w:val="FirstParagraph"/>
      </w:pPr>
      <w:r>
        <w:t xml:space="preserve">Viena lleva</w:t>
      </w:r>
      <w:r>
        <w:t xml:space="preserve"> </w:t>
      </w:r>
      <w:r>
        <w:rPr>
          <w:b/>
        </w:rPr>
        <w:t xml:space="preserve">100 años</w:t>
      </w:r>
      <w:r>
        <w:t xml:space="preserve"> </w:t>
      </w:r>
      <w:r>
        <w:t xml:space="preserve">construyendo vivienda social financiada con un gravamen del 1% sobre la nómina salarial. Hoy el 60% de los vieneses vive en vivienda subsidiada. Es la ciudad con mejor calidad de vida del mundo, y una de las razones es que la vivienda no es un problema.</w:t>
      </w:r>
    </w:p>
    <w:p>
      <w:pPr>
        <w:pStyle w:val="BodyText"/>
      </w:pPr>
      <w:r>
        <w:t xml:space="preserve">Colombia, con la</w:t>
      </w:r>
      <w:r>
        <w:t xml:space="preserve"> </w:t>
      </w:r>
      <w:r>
        <w:t xml:space="preserve">“</w:t>
      </w:r>
      <w:r>
        <w:t xml:space="preserve">contribución por valorización</w:t>
      </w:r>
      <w:r>
        <w:t xml:space="preserve">”</w:t>
      </w:r>
      <w:r>
        <w:t xml:space="preserve">, recupera parte del aumento del valor del suelo cuando hace inversiones públicas, y destina esos fondos a más infraestructura. Medellín financió parte de su transformación urbana con este mecanismo.</w:t>
      </w:r>
    </w:p>
    <w:p>
      <w:pPr>
        <w:pStyle w:val="BodyText"/>
      </w:pPr>
      <w:r>
        <w:t xml:space="preserve">El problema estructural de la vivienda en Argentina no es técnico — es financiero. No hay un flujo de fondos predecible y sustentable dedicado a vivienda. Esta política crea ese flujo.</w:t>
      </w:r>
    </w:p>
    <w:p>
      <w:pPr>
        <w:pStyle w:val="Heading3"/>
      </w:pPr>
      <w:bookmarkStart w:id="55" w:name="diseño-para-argentina-4"/>
      <w:r>
        <w:t xml:space="preserve">Diseño para Argentina</w:t>
      </w:r>
      <w:bookmarkEnd w:id="55"/>
    </w:p>
    <w:p>
      <w:pPr>
        <w:pStyle w:val="FirstParagraph"/>
      </w:pPr>
      <w:r>
        <w:rPr>
          <w:b/>
        </w:rPr>
        <w:t xml:space="preserve">El Fondo Soberano de Hábitat se nutre de:</w:t>
      </w:r>
    </w:p>
    <w:p>
      <w:pPr>
        <w:pStyle w:val="BodyText"/>
      </w:pPr>
      <w:r>
        <w:rPr>
          <w:b/>
        </w:rPr>
        <w:t xml:space="preserve">A. Contribución por Valorización (modelo colombiano adaptado)</w:t>
      </w:r>
      <w:r>
        <w:t xml:space="preserve"> </w:t>
      </w:r>
      <w:r>
        <w:t xml:space="preserve">- Cuando una obra pública (extensión de subte, nuevo hospital, parque) aumenta el valor de las propiedades cercanas, se cobra una contribución proporcional a los beneficiarios</w:t>
      </w:r>
      <w:r>
        <w:t xml:space="preserve"> </w:t>
      </w:r>
      <w:r>
        <w:t xml:space="preserve">- Estimación: USD 200-400 millones/año (conservador, basado en volumen de obra pública argentina)</w:t>
      </w:r>
    </w:p>
    <w:p>
      <w:pPr>
        <w:pStyle w:val="BodyText"/>
      </w:pPr>
      <w:r>
        <w:rPr>
          <w:b/>
        </w:rPr>
        <w:t xml:space="preserve">B. Impuesto a Viviendas Ociosas</w:t>
      </w:r>
      <w:r>
        <w:t xml:space="preserve"> </w:t>
      </w:r>
      <w:r>
        <w:t xml:space="preserve">- 0,5% anual del valor fiscal para viviendas vacías por 12-24 meses</w:t>
      </w:r>
      <w:r>
        <w:t xml:space="preserve"> </w:t>
      </w:r>
      <w:r>
        <w:t xml:space="preserve">- 1,5% anual para viviendas vacías por más de 24 meses</w:t>
      </w:r>
      <w:r>
        <w:t xml:space="preserve"> </w:t>
      </w:r>
      <w:r>
        <w:t xml:space="preserve">- Estimación: USD 150-200 millones/año (sobre base de 500.000 viviendas vacías)</w:t>
      </w:r>
    </w:p>
    <w:p>
      <w:pPr>
        <w:pStyle w:val="BodyText"/>
      </w:pPr>
      <w:r>
        <w:rPr>
          <w:b/>
        </w:rPr>
        <w:t xml:space="preserve">C. Land Banking</w:t>
      </w:r>
      <w:r>
        <w:t xml:space="preserve"> </w:t>
      </w:r>
      <w:r>
        <w:t xml:space="preserve">- El Fondo adquiere terrenos en zonas de expansión planificada</w:t>
      </w:r>
      <w:r>
        <w:t xml:space="preserve"> </w:t>
      </w:r>
      <w:r>
        <w:t xml:space="preserve">- Destina 70% a vivienda social, 30% a venta a precio de mercado (que financia la operación)</w:t>
      </w:r>
      <w:r>
        <w:t xml:space="preserve"> </w:t>
      </w:r>
      <w:r>
        <w:t xml:space="preserve">- Capital inicial necesario: USD 200 millones (puede venir de multilaterales)</w:t>
      </w:r>
    </w:p>
    <w:p>
      <w:pPr>
        <w:pStyle w:val="BodyText"/>
      </w:pPr>
      <w:r>
        <w:rPr>
          <w:b/>
        </w:rPr>
        <w:t xml:space="preserve">D. Aporte patronal para vivienda (modelo Viena)</w:t>
      </w:r>
      <w:r>
        <w:t xml:space="preserve"> </w:t>
      </w:r>
      <w:r>
        <w:t xml:space="preserve">- 0,5% sobre la masa salarial formal (la mitad de lo que cobra Viena)</w:t>
      </w:r>
      <w:r>
        <w:t xml:space="preserve"> </w:t>
      </w:r>
      <w:r>
        <w:t xml:space="preserve">- Estimación: USD 400-500 millones/año</w:t>
      </w:r>
    </w:p>
    <w:p>
      <w:pPr>
        <w:pStyle w:val="BodyText"/>
      </w:pPr>
      <w:r>
        <w:rPr>
          <w:b/>
        </w:rPr>
        <w:t xml:space="preserve">Recaudación estimada del Fondo:</w:t>
      </w:r>
      <w:r>
        <w:t xml:space="preserve"> </w:t>
      </w:r>
      <w:r>
        <w:t xml:space="preserve">USD 950 millones - 1.300 millones/año (una vez en régimen, año 3+)</w:t>
      </w:r>
    </w:p>
    <w:p>
      <w:pPr>
        <w:pStyle w:val="BodyText"/>
      </w:pPr>
      <w:r>
        <w:rPr>
          <w:b/>
        </w:rPr>
        <w:t xml:space="preserve">Meta:</w:t>
      </w:r>
      <w:r>
        <w:t xml:space="preserve"> </w:t>
      </w:r>
      <w:r>
        <w:t xml:space="preserve">El Fondo financia la construcción/urbanización de</w:t>
      </w:r>
      <w:r>
        <w:t xml:space="preserve"> </w:t>
      </w:r>
      <w:r>
        <w:rPr>
          <w:b/>
        </w:rPr>
        <w:t xml:space="preserve">20.000-25.000 viviendas/año</w:t>
      </w:r>
      <w:r>
        <w:t xml:space="preserve"> </w:t>
      </w:r>
      <w:r>
        <w:t xml:space="preserve">de manera</w:t>
      </w:r>
      <w:r>
        <w:t xml:space="preserve"> </w:t>
      </w:r>
      <w:r>
        <w:rPr>
          <w:b/>
        </w:rPr>
        <w:t xml:space="preserve">permanente y autosustentable</w:t>
      </w:r>
      <w:r>
        <w:t xml:space="preserve">, independientemente del gobierno de turno.</w:t>
      </w:r>
    </w:p>
    <w:p>
      <w:pPr>
        <w:pStyle w:val="Heading3"/>
      </w:pPr>
      <w:bookmarkStart w:id="56" w:name="Xa76546347ba14d7a760932d51b57dd0ad150550"/>
      <w:r>
        <w:t xml:space="preserve">Costeo del Fondo (inversión inicial para puesta en marcha)</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Monto</w:t>
            </w:r>
          </w:p>
        </w:tc>
      </w:tr>
      <w:tr>
        <w:tc>
          <w:p>
            <w:pPr>
              <w:pStyle w:val="Compact"/>
              <w:jc w:val="left"/>
            </w:pPr>
            <w:r>
              <w:t xml:space="preserve">Capital inicial para land banking</w:t>
            </w:r>
          </w:p>
        </w:tc>
        <w:tc>
          <w:p>
            <w:pPr>
              <w:pStyle w:val="Compact"/>
              <w:jc w:val="left"/>
            </w:pPr>
            <w:r>
              <w:t xml:space="preserve">USD 200 millones</w:t>
            </w:r>
          </w:p>
        </w:tc>
      </w:tr>
      <w:tr>
        <w:tc>
          <w:p>
            <w:pPr>
              <w:pStyle w:val="Compact"/>
              <w:jc w:val="left"/>
            </w:pPr>
            <w:r>
              <w:t xml:space="preserve">Sistemas informáticos (catastro, registro, transparencia)</w:t>
            </w:r>
          </w:p>
        </w:tc>
        <w:tc>
          <w:p>
            <w:pPr>
              <w:pStyle w:val="Compact"/>
              <w:jc w:val="left"/>
            </w:pPr>
            <w:r>
              <w:t xml:space="preserve">USD 20 millones</w:t>
            </w:r>
          </w:p>
        </w:tc>
      </w:tr>
      <w:tr>
        <w:tc>
          <w:p>
            <w:pPr>
              <w:pStyle w:val="Compact"/>
              <w:jc w:val="left"/>
            </w:pPr>
            <w:r>
              <w:t xml:space="preserve">Equipo técnico del Fondo (primeros 3 años)</w:t>
            </w:r>
          </w:p>
        </w:tc>
        <w:tc>
          <w:p>
            <w:pPr>
              <w:pStyle w:val="Compact"/>
              <w:jc w:val="left"/>
            </w:pPr>
            <w:r>
              <w:t xml:space="preserve">USD 30 millones</w:t>
            </w:r>
          </w:p>
        </w:tc>
      </w:tr>
      <w:tr>
        <w:tc>
          <w:p>
            <w:pPr>
              <w:pStyle w:val="Compact"/>
              <w:jc w:val="left"/>
            </w:pPr>
            <w:r>
              <w:t xml:space="preserve">Marco legal y regulatorio</w:t>
            </w:r>
          </w:p>
        </w:tc>
        <w:tc>
          <w:p>
            <w:pPr>
              <w:pStyle w:val="Compact"/>
              <w:jc w:val="left"/>
            </w:pPr>
            <w:r>
              <w:t xml:space="preserve">USD 5 millones</w:t>
            </w:r>
          </w:p>
        </w:tc>
      </w:tr>
      <w:tr>
        <w:tc>
          <w:p>
            <w:pPr>
              <w:pStyle w:val="Compact"/>
              <w:jc w:val="left"/>
            </w:pPr>
            <w:r>
              <w:rPr>
                <w:b/>
              </w:rPr>
              <w:t xml:space="preserve">Total inversión inicial</w:t>
            </w:r>
          </w:p>
        </w:tc>
        <w:tc>
          <w:p>
            <w:pPr>
              <w:pStyle w:val="Compact"/>
              <w:jc w:val="left"/>
            </w:pPr>
            <w:r>
              <w:rPr>
                <w:b/>
              </w:rPr>
              <w:t xml:space="preserve">USD 255 millones</w:t>
            </w:r>
          </w:p>
        </w:tc>
      </w:tr>
    </w:tbl>
    <w:p>
      <w:pPr>
        <w:pStyle w:val="BodyText"/>
      </w:pPr>
      <w:r>
        <w:rPr>
          <w:i/>
        </w:rPr>
        <w:t xml:space="preserve">A partir del año 3, el Fondo se autofinancia y genera USD 950M-1.300M/año para vivienda.</w:t>
      </w:r>
    </w:p>
    <w:p>
      <w:pPr>
        <w:pStyle w:val="Heading3"/>
      </w:pPr>
      <w:bookmarkStart w:id="57" w:name="financiamiento-de-la-inversión-inicial"/>
      <w:r>
        <w:t xml:space="preserve">Financiamiento de la inversión inicial</w:t>
      </w:r>
      <w:bookmarkEnd w:id="57"/>
    </w:p>
    <w:p>
      <w:pPr>
        <w:numPr>
          <w:ilvl w:val="0"/>
          <w:numId w:val="1006"/>
        </w:numPr>
        <w:pStyle w:val="Compact"/>
      </w:pPr>
      <w:r>
        <w:rPr>
          <w:b/>
        </w:rPr>
        <w:t xml:space="preserve">50% — Préstamo BID (componente institucional):</w:t>
      </w:r>
      <w:r>
        <w:t xml:space="preserve"> </w:t>
      </w:r>
      <w:r>
        <w:t xml:space="preserve">USD 127,5 millones</w:t>
      </w:r>
    </w:p>
    <w:p>
      <w:pPr>
        <w:numPr>
          <w:ilvl w:val="0"/>
          <w:numId w:val="1006"/>
        </w:numPr>
        <w:pStyle w:val="Compact"/>
      </w:pPr>
      <w:r>
        <w:rPr>
          <w:b/>
        </w:rPr>
        <w:t xml:space="preserve">30% — Presupuesto nacional:</w:t>
      </w:r>
      <w:r>
        <w:t xml:space="preserve"> </w:t>
      </w:r>
      <w:r>
        <w:t xml:space="preserve">USD 76,5 millones</w:t>
      </w:r>
    </w:p>
    <w:p>
      <w:pPr>
        <w:numPr>
          <w:ilvl w:val="0"/>
          <w:numId w:val="1006"/>
        </w:numPr>
        <w:pStyle w:val="Compact"/>
      </w:pPr>
      <w:r>
        <w:rPr>
          <w:b/>
        </w:rPr>
        <w:t xml:space="preserve">20% — Donación de cooperación internacional (UE, Noruega, GIZ):</w:t>
      </w:r>
      <w:r>
        <w:t xml:space="preserve"> </w:t>
      </w:r>
      <w:r>
        <w:t xml:space="preserve">USD 51 millones</w:t>
      </w:r>
    </w:p>
    <w:p>
      <w:pPr>
        <w:pStyle w:val="Heading3"/>
      </w:pPr>
      <w:bookmarkStart w:id="58" w:name="diálogo-con-el-marco-teórico-4"/>
      <w:r>
        <w:t xml:space="preserve">Diálogo con el marco teórico</w:t>
      </w:r>
      <w:bookmarkEnd w:id="58"/>
    </w:p>
    <w:p>
      <w:pPr>
        <w:pStyle w:val="FirstParagraph"/>
      </w:pPr>
      <w:r>
        <w:t xml:space="preserve">Esta es la política más sistémica, la que cambia las reglas del juego. Conecta directamente con</w:t>
      </w:r>
      <w:r>
        <w:t xml:space="preserve"> </w:t>
      </w:r>
      <w:r>
        <w:rPr>
          <w:b/>
        </w:rPr>
        <w:t xml:space="preserve">Thomas Piketty</w:t>
      </w:r>
      <w:r>
        <w:t xml:space="preserve">: cuando el rendimiento del capital (incluida la tierra) supera al crecimiento económico, la desigualdad se profundiza. La captura de valor del suelo es una corrección directa de esa dinámica — redistribuye la plusvalía que genera la inversión pública desde los propietarios hacia quienes no tienen vivienda.</w:t>
      </w:r>
    </w:p>
    <w:p>
      <w:pPr>
        <w:pStyle w:val="BodyText"/>
      </w:pPr>
      <w:r>
        <w:t xml:space="preserve">Dialoga con</w:t>
      </w:r>
      <w:r>
        <w:t xml:space="preserve"> </w:t>
      </w:r>
      <w:r>
        <w:rPr>
          <w:b/>
        </w:rPr>
        <w:t xml:space="preserve">Mariana Mazzucato</w:t>
      </w:r>
      <w:r>
        <w:t xml:space="preserve"> </w:t>
      </w:r>
      <w:r>
        <w:t xml:space="preserve">sobre el Estado emprendedor: el Fondo no es gasto corriente, es una institución que invierte, captura retornos y reinvierte. Es el Estado actuando con lógica de largo plazo.</w:t>
      </w:r>
    </w:p>
    <w:p>
      <w:pPr>
        <w:pStyle w:val="BodyText"/>
      </w:pPr>
      <w:r>
        <w:t xml:space="preserve">Se conecta con</w:t>
      </w:r>
      <w:r>
        <w:t xml:space="preserve"> </w:t>
      </w:r>
      <w:r>
        <w:rPr>
          <w:b/>
        </w:rPr>
        <w:t xml:space="preserve">Dani Rodrik</w:t>
      </w:r>
      <w:r>
        <w:t xml:space="preserve"> </w:t>
      </w:r>
      <w:r>
        <w:t xml:space="preserve">y la política industrial: así como Rodrik argumenta que los países exitosos usaron política industrial activa, esta es</w:t>
      </w:r>
      <w:r>
        <w:t xml:space="preserve"> </w:t>
      </w:r>
      <w:r>
        <w:t xml:space="preserve">“</w:t>
      </w:r>
      <w:r>
        <w:t xml:space="preserve">política de suelo activa</w:t>
      </w:r>
      <w:r>
        <w:t xml:space="preserve">”</w:t>
      </w:r>
      <w:r>
        <w:t xml:space="preserve"> </w:t>
      </w:r>
      <w:r>
        <w:t xml:space="preserve">— el Estado no deja que el mercado de tierras funcione solo, porque solo produce especulación y exclusión.</w:t>
      </w:r>
    </w:p>
    <w:p>
      <w:pPr>
        <w:pStyle w:val="BodyText"/>
      </w:pPr>
      <w:r>
        <w:t xml:space="preserve">Y es profundamente vinculada a la idea de que</w:t>
      </w:r>
      <w:r>
        <w:t xml:space="preserve"> </w:t>
      </w:r>
      <w:r>
        <w:rPr>
          <w:b/>
        </w:rPr>
        <w:t xml:space="preserve">la tierra no es una mercancía más</w:t>
      </w:r>
      <w:r>
        <w:t xml:space="preserve">. La tierra existía antes que nosotros y va a existir después. Que su valor aumente porque el Estado construyó un subte y que ese aumento se lo quede un particular es una injusticia que esta política corrige.</w:t>
      </w:r>
    </w:p>
    <w:p>
      <w:pPr>
        <w:pStyle w:val="BodyText"/>
      </w:pPr>
      <w:r>
        <w:t xml:space="preserve">El modelo de Viena demuestra que esto funciona por</w:t>
      </w:r>
      <w:r>
        <w:t xml:space="preserve"> </w:t>
      </w:r>
      <w:r>
        <w:rPr>
          <w:b/>
        </w:rPr>
        <w:t xml:space="preserve">100 años</w:t>
      </w:r>
      <w:r>
        <w:t xml:space="preserve">. No es utopía — es decisión política sostenida.</w:t>
      </w:r>
    </w:p>
    <w:p>
      <w:r>
        <w:pict>
          <v:rect style="width:0;height:1.5pt" o:hralign="center" o:hrstd="t" o:hr="t"/>
        </w:pict>
      </w:r>
    </w:p>
    <w:p>
      <w:pPr>
        <w:pStyle w:val="Heading2"/>
      </w:pPr>
      <w:bookmarkStart w:id="59" w:name="síntesis-las-5-políticas-juntas"/>
      <w:r>
        <w:t xml:space="preserve">Síntesis: Las 5 Políticas Juntas</w:t>
      </w:r>
      <w:bookmarkEnd w:id="59"/>
    </w:p>
    <w:tbl>
      <w:tblPr>
        <w:tblStyle w:val="Table"/>
        <w:tblW w:type="pct" w:w="5000.0"/>
        <w:tblLook w:firstRow="1"/>
      </w:tblPr>
      <w:tblGrid>
        <w:gridCol w:w="954"/>
        <w:gridCol w:w="2003"/>
        <w:gridCol w:w="1622"/>
        <w:gridCol w:w="1526"/>
        <w:gridCol w:w="1813"/>
      </w:tblGrid>
      <w:tr>
        <w:trPr>
          <w:cnfStyle w:firstRow="1"/>
        </w:trPr>
        <w:tc>
          <w:tcPr>
            <w:tcBorders>
              <w:bottom w:val="single"/>
            </w:tcBorders>
            <w:vAlign w:val="bottom"/>
          </w:tcPr>
          <w:p>
            <w:pPr>
              <w:pStyle w:val="Compact"/>
              <w:jc w:val="left"/>
            </w:pPr>
            <w:r>
              <w:t xml:space="preserve">Política</w:t>
            </w:r>
          </w:p>
        </w:tc>
        <w:tc>
          <w:tcPr>
            <w:tcBorders>
              <w:bottom w:val="single"/>
            </w:tcBorders>
            <w:vAlign w:val="bottom"/>
          </w:tcPr>
          <w:p>
            <w:pPr>
              <w:pStyle w:val="Compact"/>
              <w:jc w:val="left"/>
            </w:pPr>
            <w:r>
              <w:t xml:space="preserve">Viviendas en 5 años</w:t>
            </w:r>
          </w:p>
        </w:tc>
        <w:tc>
          <w:tcPr>
            <w:tcBorders>
              <w:bottom w:val="single"/>
            </w:tcBorders>
            <w:vAlign w:val="bottom"/>
          </w:tcPr>
          <w:p>
            <w:pPr>
              <w:pStyle w:val="Compact"/>
              <w:jc w:val="left"/>
            </w:pPr>
            <w:r>
              <w:t xml:space="preserve">Inversión total</w:t>
            </w:r>
          </w:p>
        </w:tc>
        <w:tc>
          <w:tcPr>
            <w:tcBorders>
              <w:bottom w:val="single"/>
            </w:tcBorders>
            <w:vAlign w:val="bottom"/>
          </w:tcPr>
          <w:p>
            <w:pPr>
              <w:pStyle w:val="Compact"/>
              <w:jc w:val="left"/>
            </w:pPr>
            <w:r>
              <w:t xml:space="preserve">Costo/vivienda</w:t>
            </w:r>
          </w:p>
        </w:tc>
        <w:tc>
          <w:tcPr>
            <w:tcBorders>
              <w:bottom w:val="single"/>
            </w:tcBorders>
            <w:vAlign w:val="bottom"/>
          </w:tcPr>
          <w:p>
            <w:pPr>
              <w:pStyle w:val="Compact"/>
              <w:jc w:val="left"/>
            </w:pPr>
            <w:r>
              <w:t xml:space="preserve">Impacto adicional</w:t>
            </w:r>
          </w:p>
        </w:tc>
      </w:tr>
      <w:tr>
        <w:tc>
          <w:p>
            <w:pPr>
              <w:pStyle w:val="Compact"/>
              <w:jc w:val="left"/>
            </w:pPr>
            <w:r>
              <w:t xml:space="preserve">1. Cooperativas de Ayuda Mutua</w:t>
            </w:r>
          </w:p>
        </w:tc>
        <w:tc>
          <w:p>
            <w:pPr>
              <w:pStyle w:val="Compact"/>
              <w:jc w:val="left"/>
            </w:pPr>
            <w:r>
              <w:t xml:space="preserve">20.000</w:t>
            </w:r>
          </w:p>
        </w:tc>
        <w:tc>
          <w:p>
            <w:pPr>
              <w:pStyle w:val="Compact"/>
              <w:jc w:val="left"/>
            </w:pPr>
            <w:r>
              <w:t xml:space="preserve">USD 930M</w:t>
            </w:r>
          </w:p>
        </w:tc>
        <w:tc>
          <w:p>
            <w:pPr>
              <w:pStyle w:val="Compact"/>
              <w:jc w:val="left"/>
            </w:pPr>
            <w:r>
              <w:t xml:space="preserve">USD 46.500</w:t>
            </w:r>
          </w:p>
        </w:tc>
        <w:tc>
          <w:p>
            <w:pPr>
              <w:pStyle w:val="Compact"/>
              <w:jc w:val="left"/>
            </w:pPr>
            <w:r>
              <w:t xml:space="preserve">Comunidad, oficios, cooperativismo</w:t>
            </w:r>
          </w:p>
        </w:tc>
      </w:tr>
      <w:tr>
        <w:tc>
          <w:p>
            <w:pPr>
              <w:pStyle w:val="Compact"/>
              <w:jc w:val="left"/>
            </w:pPr>
            <w:r>
              <w:t xml:space="preserve">2. Urbanización Integral de Barrios</w:t>
            </w:r>
          </w:p>
        </w:tc>
        <w:tc>
          <w:p>
            <w:pPr>
              <w:pStyle w:val="Compact"/>
              <w:jc w:val="left"/>
            </w:pPr>
            <w:r>
              <w:t xml:space="preserve">600.000 familias mejoradas</w:t>
            </w:r>
          </w:p>
        </w:tc>
        <w:tc>
          <w:p>
            <w:pPr>
              <w:pStyle w:val="Compact"/>
              <w:jc w:val="left"/>
            </w:pPr>
            <w:r>
              <w:t xml:space="preserve">USD 8.420M</w:t>
            </w:r>
          </w:p>
        </w:tc>
        <w:tc>
          <w:p>
            <w:pPr>
              <w:pStyle w:val="Compact"/>
              <w:jc w:val="left"/>
            </w:pPr>
            <w:r>
              <w:t xml:space="preserve">USD 14.033/familia</w:t>
            </w:r>
          </w:p>
        </w:tc>
        <w:tc>
          <w:p>
            <w:pPr>
              <w:pStyle w:val="Compact"/>
              <w:jc w:val="left"/>
            </w:pPr>
            <w:r>
              <w:t xml:space="preserve">Servicios, títulos, dignidad</w:t>
            </w:r>
          </w:p>
        </w:tc>
      </w:tr>
      <w:tr>
        <w:tc>
          <w:p>
            <w:pPr>
              <w:pStyle w:val="Compact"/>
              <w:jc w:val="left"/>
            </w:pPr>
            <w:r>
              <w:t xml:space="preserve">3. Vivienda Incremental Solar</w:t>
            </w:r>
          </w:p>
        </w:tc>
        <w:tc>
          <w:p>
            <w:pPr>
              <w:pStyle w:val="Compact"/>
              <w:jc w:val="left"/>
            </w:pPr>
            <w:r>
              <w:t xml:space="preserve">30.000</w:t>
            </w:r>
          </w:p>
        </w:tc>
        <w:tc>
          <w:p>
            <w:pPr>
              <w:pStyle w:val="Compact"/>
              <w:jc w:val="left"/>
            </w:pPr>
            <w:r>
              <w:t xml:space="preserve">USD 915M</w:t>
            </w:r>
          </w:p>
        </w:tc>
        <w:tc>
          <w:p>
            <w:pPr>
              <w:pStyle w:val="Compact"/>
              <w:jc w:val="left"/>
            </w:pPr>
            <w:r>
              <w:t xml:space="preserve">USD 30.500</w:t>
            </w:r>
          </w:p>
        </w:tc>
        <w:tc>
          <w:p>
            <w:pPr>
              <w:pStyle w:val="Compact"/>
              <w:jc w:val="left"/>
            </w:pPr>
            <w:r>
              <w:t xml:space="preserve">Energía limpia, ahorro familiar</w:t>
            </w:r>
          </w:p>
        </w:tc>
      </w:tr>
      <w:tr>
        <w:tc>
          <w:p>
            <w:pPr>
              <w:pStyle w:val="Compact"/>
              <w:jc w:val="left"/>
            </w:pPr>
            <w:r>
              <w:t xml:space="preserve">4. Barrios Intergeneracionales</w:t>
            </w:r>
          </w:p>
        </w:tc>
        <w:tc>
          <w:p>
            <w:pPr>
              <w:pStyle w:val="Compact"/>
              <w:jc w:val="left"/>
            </w:pPr>
            <w:r>
              <w:t xml:space="preserve">6.000</w:t>
            </w:r>
          </w:p>
        </w:tc>
        <w:tc>
          <w:p>
            <w:pPr>
              <w:pStyle w:val="Compact"/>
              <w:jc w:val="left"/>
            </w:pPr>
            <w:r>
              <w:t xml:space="preserve">USD 375M</w:t>
            </w:r>
          </w:p>
        </w:tc>
        <w:tc>
          <w:p>
            <w:pPr>
              <w:pStyle w:val="Compact"/>
              <w:jc w:val="left"/>
            </w:pPr>
            <w:r>
              <w:t xml:space="preserve">USD 62.500</w:t>
            </w:r>
          </w:p>
        </w:tc>
        <w:tc>
          <w:p>
            <w:pPr>
              <w:pStyle w:val="Compact"/>
              <w:jc w:val="left"/>
            </w:pPr>
            <w:r>
              <w:t xml:space="preserve">Cuidado, inclusión, salud</w:t>
            </w:r>
          </w:p>
        </w:tc>
      </w:tr>
      <w:tr>
        <w:tc>
          <w:p>
            <w:pPr>
              <w:pStyle w:val="Compact"/>
              <w:jc w:val="left"/>
            </w:pPr>
            <w:r>
              <w:t xml:space="preserve">5. Fondo Soberano de Hábitat</w:t>
            </w:r>
          </w:p>
        </w:tc>
        <w:tc>
          <w:p>
            <w:pPr>
              <w:pStyle w:val="Compact"/>
              <w:jc w:val="left"/>
            </w:pPr>
            <w:r>
              <w:t xml:space="preserve">20.000+/año (permanente)</w:t>
            </w:r>
          </w:p>
        </w:tc>
        <w:tc>
          <w:p>
            <w:pPr>
              <w:pStyle w:val="Compact"/>
              <w:jc w:val="left"/>
            </w:pPr>
            <w:r>
              <w:t xml:space="preserve">USD 255M (inicial)</w:t>
            </w:r>
          </w:p>
        </w:tc>
        <w:tc>
          <w:p>
            <w:pPr>
              <w:pStyle w:val="Compact"/>
              <w:jc w:val="left"/>
            </w:pPr>
            <w:r>
              <w:t xml:space="preserve">Autosustentable</w:t>
            </w:r>
          </w:p>
        </w:tc>
        <w:tc>
          <w:p>
            <w:pPr>
              <w:pStyle w:val="Compact"/>
              <w:jc w:val="left"/>
            </w:pPr>
            <w:r>
              <w:t xml:space="preserve">Institucionalidad de largo plazo</w:t>
            </w:r>
          </w:p>
        </w:tc>
      </w:tr>
    </w:tbl>
    <w:p>
      <w:pPr>
        <w:pStyle w:val="BodyText"/>
      </w:pPr>
      <w:r>
        <w:rPr>
          <w:b/>
        </w:rPr>
        <w:t xml:space="preserve">Inversión total en 5 años: USD 10.895 millones</w:t>
      </w:r>
      <w:r>
        <w:t xml:space="preserve"> </w:t>
      </w:r>
      <w:r>
        <w:rPr>
          <w:b/>
        </w:rPr>
        <w:t xml:space="preserve">Familias alcanzadas directamente: 676.000</w:t>
      </w:r>
      <w:r>
        <w:t xml:space="preserve"> </w:t>
      </w:r>
      <w:r>
        <w:t xml:space="preserve">(más 20.000+/año en adelante por el Fondo)</w:t>
      </w:r>
      <w:r>
        <w:t xml:space="preserve"> </w:t>
      </w:r>
      <w:r>
        <w:rPr>
          <w:b/>
        </w:rPr>
        <w:t xml:space="preserve">Personas alcanzadas: ~2,7 millones</w:t>
      </w:r>
    </w:p>
    <w:p>
      <w:pPr>
        <w:pStyle w:val="BodyText"/>
      </w:pPr>
      <w:r>
        <w:t xml:space="preserve">Para un país con 5 millones de personas en barrios populares, esto significa alcanzar a más de la mitad en un período presidencial. No resuelve todo. Pero cambia la dirección.</w:t>
      </w:r>
    </w:p>
    <w:p>
      <w:pPr>
        <w:pStyle w:val="Heading3"/>
      </w:pPr>
      <w:bookmarkStart w:id="60" w:name="el-costo-en-perspectiva"/>
      <w:r>
        <w:t xml:space="preserve">El costo en perspectiva</w:t>
      </w:r>
      <w:bookmarkEnd w:id="60"/>
    </w:p>
    <w:p>
      <w:pPr>
        <w:numPr>
          <w:ilvl w:val="0"/>
          <w:numId w:val="1007"/>
        </w:numPr>
        <w:pStyle w:val="Compact"/>
      </w:pPr>
      <w:r>
        <w:t xml:space="preserve">USD 10.895 millones en 5 años = USD 2.179 millones/año</w:t>
      </w:r>
    </w:p>
    <w:p>
      <w:pPr>
        <w:numPr>
          <w:ilvl w:val="0"/>
          <w:numId w:val="1007"/>
        </w:numPr>
        <w:pStyle w:val="Compact"/>
      </w:pPr>
      <w:r>
        <w:t xml:space="preserve">El PBI de Argentina es ~USD 640.000 millones</w:t>
      </w:r>
    </w:p>
    <w:p>
      <w:pPr>
        <w:numPr>
          <w:ilvl w:val="0"/>
          <w:numId w:val="1007"/>
        </w:numPr>
        <w:pStyle w:val="Compact"/>
      </w:pPr>
      <w:r>
        <w:t xml:space="preserve">Esto representa el</w:t>
      </w:r>
      <w:r>
        <w:t xml:space="preserve"> </w:t>
      </w:r>
      <w:r>
        <w:rPr>
          <w:b/>
        </w:rPr>
        <w:t xml:space="preserve">0,34% del PBI anual</w:t>
      </w:r>
    </w:p>
    <w:p>
      <w:pPr>
        <w:numPr>
          <w:ilvl w:val="0"/>
          <w:numId w:val="1007"/>
        </w:numPr>
        <w:pStyle w:val="Compact"/>
      </w:pPr>
      <w:r>
        <w:t xml:space="preserve">Brasil gastó 1,2% del PBI en Minha Casa Minha Vida en su pico</w:t>
      </w:r>
    </w:p>
    <w:p>
      <w:pPr>
        <w:numPr>
          <w:ilvl w:val="0"/>
          <w:numId w:val="1007"/>
        </w:numPr>
        <w:pStyle w:val="Compact"/>
      </w:pPr>
      <w:r>
        <w:t xml:space="preserve">Argentina gasta 0,3% del PBI en defensa militar</w:t>
      </w:r>
    </w:p>
    <w:p>
      <w:pPr>
        <w:numPr>
          <w:ilvl w:val="0"/>
          <w:numId w:val="1007"/>
        </w:numPr>
        <w:pStyle w:val="Compact"/>
      </w:pPr>
      <w:r>
        <w:t xml:space="preserve">El país gasta más en subsidios a energía para barrios ricos que lo que costaría este plan entero</w:t>
      </w:r>
    </w:p>
    <w:p>
      <w:pPr>
        <w:pStyle w:val="FirstParagraph"/>
      </w:pPr>
      <w:r>
        <w:rPr>
          <w:b/>
        </w:rPr>
        <w:t xml:space="preserve">No es una cuestión de recursos. Es una cuestión de prioridades.</w:t>
      </w:r>
    </w:p>
    <w:p>
      <w:r>
        <w:pict>
          <v:rect style="width:0;height:1.5pt" o:hralign="center" o:hrstd="t" o:hr="t"/>
        </w:pict>
      </w:r>
    </w:p>
    <w:p>
      <w:pPr>
        <w:pStyle w:val="FirstParagraph"/>
      </w:pPr>
      <w:r>
        <w:rPr>
          <w:i/>
        </w:rPr>
        <w:t xml:space="preserve">Documento elaborado: Febrero 2026</w:t>
      </w:r>
      <w:r>
        <w:t xml:space="preserve"> </w:t>
      </w:r>
      <w:r>
        <w:rPr>
          <w:i/>
        </w:rPr>
        <w:t xml:space="preserve">Proyecto: Argentina Próspera 2027-2031</w:t>
      </w:r>
      <w:r>
        <w:t xml:space="preserve"> </w:t>
      </w:r>
      <w:r>
        <w:rPr>
          <w:i/>
        </w:rPr>
        <w:t xml:space="preserve">Fuentes: INDEC, RENABAP, BID, Banco Mundial, CEPAL, ONU-Habitat, CAMARCO, FUCVAM, ELEMENTAL, EPM Medellín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2026-02-23T02:10:35Z</dcterms:created>
  <dcterms:modified xsi:type="dcterms:W3CDTF">2026-02-23T02:10:35Z</dcterms:modified>
</cp:coreProperties>
</file>

<file path=docProps/custom.xml><?xml version="1.0" encoding="utf-8"?>
<Properties xmlns="http://schemas.openxmlformats.org/officeDocument/2006/custom-properties" xmlns:vt="http://schemas.openxmlformats.org/officeDocument/2006/docPropsVTypes"/>
</file>