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alud-para-todos"/>
      <w:r>
        <w:t xml:space="preserve">Salud para Todos</w:t>
      </w:r>
      <w:bookmarkEnd w:id="20"/>
    </w:p>
    <w:p>
      <w:pPr>
        <w:pStyle w:val="Heading2"/>
      </w:pPr>
      <w:bookmarkStart w:id="21" w:name="X8aa46f864dcffef11cfdb7f898c6469de067b7e"/>
      <w:r>
        <w:t xml:space="preserve">Argentina Próspera 2027-2031 — Documento Sectorial 04</w:t>
      </w:r>
      <w:bookmarkEnd w:id="21"/>
    </w:p>
    <w:p>
      <w:r>
        <w:pict>
          <v:rect style="width:0;height:1.5pt" o:hralign="center" o:hrstd="t" o:hr="t"/>
        </w:pict>
      </w:r>
    </w:p>
    <w:p>
      <w:pPr>
        <w:pStyle w:val="Heading2"/>
      </w:pPr>
      <w:bookmarkStart w:id="22" w:name="X7bdabcd2410e9f5f6c98f515a3b6375f60eb7f1"/>
      <w:r>
        <w:t xml:space="preserve">La Situación Hoy: Un sistema potente pero roto</w:t>
      </w:r>
      <w:bookmarkEnd w:id="22"/>
    </w:p>
    <w:p>
      <w:pPr>
        <w:pStyle w:val="FirstParagraph"/>
      </w:pPr>
      <w:r>
        <w:t xml:space="preserve">Argentina gasta el</w:t>
      </w:r>
      <w:r>
        <w:t xml:space="preserve"> </w:t>
      </w:r>
      <w:r>
        <w:rPr>
          <w:b/>
        </w:rPr>
        <w:t xml:space="preserve">10% de su PBI en salud</w:t>
      </w:r>
      <w:r>
        <w:t xml:space="preserve"> </w:t>
      </w:r>
      <w:r>
        <w:t xml:space="preserve">— más que casi cualquier país latinoamericano. Tiene</w:t>
      </w:r>
      <w:r>
        <w:t xml:space="preserve"> </w:t>
      </w:r>
      <w:r>
        <w:rPr>
          <w:b/>
        </w:rPr>
        <w:t xml:space="preserve">4,08 médicos por cada 1.000 habitantes</w:t>
      </w:r>
      <w:r>
        <w:t xml:space="preserve"> </w:t>
      </w:r>
      <w:r>
        <w:t xml:space="preserve">y</w:t>
      </w:r>
      <w:r>
        <w:t xml:space="preserve"> </w:t>
      </w:r>
      <w:r>
        <w:rPr>
          <w:b/>
        </w:rPr>
        <w:t xml:space="preserve">5,2 camas por cada 1.000</w:t>
      </w:r>
      <w:r>
        <w:t xml:space="preserve">, la densidad más alta de la región. Tiene facultades de medicina de primer nivel, un programa de trasplantes (INCUCAI) que es orgullo continental, acceso universal y gratuito al tratamiento de VIH, y una tradición de hospital público que salvó millones de vidas.</w:t>
      </w:r>
    </w:p>
    <w:p>
      <w:pPr>
        <w:pStyle w:val="BodyText"/>
      </w:pPr>
      <w:r>
        <w:t xml:space="preserve">Y sin embargo,</w:t>
      </w:r>
      <w:r>
        <w:t xml:space="preserve"> </w:t>
      </w:r>
      <w:r>
        <w:rPr>
          <w:b/>
        </w:rPr>
        <w:t xml:space="preserve">el 36,1% de la población no tiene cobertura de salud formal</w:t>
      </w:r>
      <w:r>
        <w:t xml:space="preserve"> </w:t>
      </w:r>
      <w:r>
        <w:t xml:space="preserve">— depende únicamente de hospitales públicos cada vez más desbordados. La mortalidad infantil en Formosa es</w:t>
      </w:r>
      <w:r>
        <w:t xml:space="preserve"> </w:t>
      </w:r>
      <w:r>
        <w:rPr>
          <w:b/>
        </w:rPr>
        <w:t xml:space="preserve">tres veces mayor</w:t>
      </w:r>
      <w:r>
        <w:t xml:space="preserve"> </w:t>
      </w:r>
      <w:r>
        <w:t xml:space="preserve">que en Buenos Aires. El presupuesto de salud se recortó un</w:t>
      </w:r>
      <w:r>
        <w:t xml:space="preserve"> </w:t>
      </w:r>
      <w:r>
        <w:rPr>
          <w:b/>
        </w:rPr>
        <w:t xml:space="preserve">48% entre 2023 y 2025</w:t>
      </w:r>
      <w:r>
        <w:t xml:space="preserve">. Se eliminó el Instituto Nacional del Cáncer. Se congelaron programas de inmunización. Se desmanteló la dirección de VIH/Hepatitis/TB.</w:t>
      </w:r>
    </w:p>
    <w:p>
      <w:pPr>
        <w:pStyle w:val="BodyText"/>
      </w:pPr>
      <w:r>
        <w:t xml:space="preserve">El sistema tiene tres problemas estructurales. Primero,</w:t>
      </w:r>
      <w:r>
        <w:t xml:space="preserve"> </w:t>
      </w:r>
      <w:r>
        <w:rPr>
          <w:b/>
        </w:rPr>
        <w:t xml:space="preserve">fragmentación</w:t>
      </w:r>
      <w:r>
        <w:t xml:space="preserve">: tres subsistemas (público, obras sociales, prepagas) que no se hablan entre sí, duplican esfuerzos y dejan grietas enormes. Segundo,</w:t>
      </w:r>
      <w:r>
        <w:t xml:space="preserve"> </w:t>
      </w:r>
      <w:r>
        <w:rPr>
          <w:b/>
        </w:rPr>
        <w:t xml:space="preserve">inequidad geográfica</w:t>
      </w:r>
      <w:r>
        <w:t xml:space="preserve">: la salud de calidad está en Buenos Aires, y el resto del país subsiste. Tercero,</w:t>
      </w:r>
      <w:r>
        <w:t xml:space="preserve"> </w:t>
      </w:r>
      <w:r>
        <w:rPr>
          <w:b/>
        </w:rPr>
        <w:t xml:space="preserve">un modelo curativo, no preventivo</w:t>
      </w:r>
      <w:r>
        <w:t xml:space="preserve">: el 90% del gasto va a tratar enfermedades y menos del 10% a prevenirlas.</w:t>
      </w:r>
    </w:p>
    <w:p>
      <w:pPr>
        <w:pStyle w:val="Heading3"/>
      </w:pPr>
      <w:bookmarkStart w:id="23" w:name="los-números-que-duelen"/>
      <w:r>
        <w:t xml:space="preserve">Los números que duelen</w:t>
      </w:r>
      <w:bookmarkEnd w:id="23"/>
    </w:p>
    <w:p>
      <w:pPr>
        <w:numPr>
          <w:ilvl w:val="0"/>
          <w:numId w:val="1001"/>
        </w:numPr>
        <w:pStyle w:val="Compact"/>
      </w:pPr>
      <w:r>
        <w:rPr>
          <w:b/>
        </w:rPr>
        <w:t xml:space="preserve">Dengue 2024:</w:t>
      </w:r>
      <w:r>
        <w:t xml:space="preserve"> </w:t>
      </w:r>
      <w:r>
        <w:t xml:space="preserve">581.559 casos confirmados (~1 millón estimados), 355 muertos. El brote más grande de la historia argentina. La enfermedad ya llegó a Bahía Blanca — el brote autóctono más austral del mundo.</w:t>
      </w:r>
    </w:p>
    <w:p>
      <w:pPr>
        <w:numPr>
          <w:ilvl w:val="0"/>
          <w:numId w:val="1001"/>
        </w:numPr>
        <w:pStyle w:val="Compact"/>
      </w:pPr>
      <w:r>
        <w:rPr>
          <w:b/>
        </w:rPr>
        <w:t xml:space="preserve">Chagas:</w:t>
      </w:r>
      <w:r>
        <w:t xml:space="preserve"> </w:t>
      </w:r>
      <w:r>
        <w:t xml:space="preserve">1,6 millones de infectados. Menos del 3% del presupuesto de comunicación gubernamental se destina a esta enfermedad. Menos de la mitad de lo asignado se ejecuta.</w:t>
      </w:r>
    </w:p>
    <w:p>
      <w:pPr>
        <w:numPr>
          <w:ilvl w:val="0"/>
          <w:numId w:val="1001"/>
        </w:numPr>
        <w:pStyle w:val="Compact"/>
      </w:pPr>
      <w:r>
        <w:rPr>
          <w:b/>
        </w:rPr>
        <w:t xml:space="preserve">Hantavirus:</w:t>
      </w:r>
      <w:r>
        <w:t xml:space="preserve"> </w:t>
      </w:r>
      <w:r>
        <w:t xml:space="preserve">86 casos confirmados en 2025, tasa de mortalidad del 33,6%. En la Patagonia alcanza el 40%.</w:t>
      </w:r>
    </w:p>
    <w:p>
      <w:pPr>
        <w:numPr>
          <w:ilvl w:val="0"/>
          <w:numId w:val="1001"/>
        </w:numPr>
        <w:pStyle w:val="Compact"/>
      </w:pPr>
      <w:r>
        <w:rPr>
          <w:b/>
        </w:rPr>
        <w:t xml:space="preserve">Tuberculosis:</w:t>
      </w:r>
      <w:r>
        <w:t xml:space="preserve"> </w:t>
      </w:r>
      <w:r>
        <w:t xml:space="preserve">Aumento del 34,6% en la incidencia entre 2015 y 2023.</w:t>
      </w:r>
    </w:p>
    <w:p>
      <w:pPr>
        <w:numPr>
          <w:ilvl w:val="0"/>
          <w:numId w:val="1001"/>
        </w:numPr>
        <w:pStyle w:val="Compact"/>
      </w:pPr>
      <w:r>
        <w:rPr>
          <w:b/>
        </w:rPr>
        <w:t xml:space="preserve">Cáncer:</w:t>
      </w:r>
      <w:r>
        <w:t xml:space="preserve"> </w:t>
      </w:r>
      <w:r>
        <w:t xml:space="preserve">216,7 casos por 100.000 habitantes. Cáncer de mama: 71 por 100.000 mujeres. Enormes disparidades en acceso a tratamiento entre provincias.</w:t>
      </w:r>
    </w:p>
    <w:p>
      <w:pPr>
        <w:numPr>
          <w:ilvl w:val="0"/>
          <w:numId w:val="1001"/>
        </w:numPr>
        <w:pStyle w:val="Compact"/>
      </w:pPr>
      <w:r>
        <w:rPr>
          <w:b/>
        </w:rPr>
        <w:t xml:space="preserve">Salud mental:</w:t>
      </w:r>
      <w:r>
        <w:t xml:space="preserve"> </w:t>
      </w:r>
      <w:r>
        <w:t xml:space="preserve">Argentina tiene 17,98 psicólogos por 10.000 habitantes (el más alto de la región) pero la Ley de Salud Mental sigue sin implementarse plenamente. El modelo sigue siendo hospitalocéntrico.</w:t>
      </w:r>
    </w:p>
    <w:p>
      <w:pPr>
        <w:numPr>
          <w:ilvl w:val="0"/>
          <w:numId w:val="1001"/>
        </w:numPr>
        <w:pStyle w:val="Compact"/>
      </w:pPr>
      <w:r>
        <w:rPr>
          <w:b/>
        </w:rPr>
        <w:t xml:space="preserve">Relación médico/enfermero:</w:t>
      </w:r>
      <w:r>
        <w:t xml:space="preserve"> </w:t>
      </w:r>
      <w:r>
        <w:t xml:space="preserve">10 a 1 — una de las más desbalanceadas del mundo. Sobran médicos, faltan enfermeros.</w:t>
      </w:r>
    </w:p>
    <w:p>
      <w:pPr>
        <w:numPr>
          <w:ilvl w:val="0"/>
          <w:numId w:val="1001"/>
        </w:numPr>
        <w:pStyle w:val="Compact"/>
      </w:pPr>
      <w:r>
        <w:rPr>
          <w:b/>
        </w:rPr>
        <w:t xml:space="preserve">Discapacidad:</w:t>
      </w:r>
      <w:r>
        <w:t xml:space="preserve"> </w:t>
      </w:r>
      <w:r>
        <w:t xml:space="preserve">Servicios fragmentados. Baja integración al sistema de salud general.</w:t>
      </w:r>
    </w:p>
    <w:p>
      <w:pPr>
        <w:numPr>
          <w:ilvl w:val="0"/>
          <w:numId w:val="1001"/>
        </w:numPr>
        <w:pStyle w:val="Compact"/>
      </w:pPr>
      <w:r>
        <w:rPr>
          <w:b/>
        </w:rPr>
        <w:t xml:space="preserve">Autismo:</w:t>
      </w:r>
      <w:r>
        <w:t xml:space="preserve"> </w:t>
      </w:r>
      <w:r>
        <w:t xml:space="preserve">Capacidad diagnóstica limitada. Largas listas de espera. Pocos profesionales formados fuera de Buenos Aires.</w:t>
      </w:r>
    </w:p>
    <w:p>
      <w:r>
        <w:pict>
          <v:rect style="width:0;height:1.5pt" o:hralign="center" o:hrstd="t" o:hr="t"/>
        </w:pict>
      </w:r>
    </w:p>
    <w:p>
      <w:pPr>
        <w:pStyle w:val="Heading2"/>
      </w:pPr>
      <w:bookmarkStart w:id="24" w:name="Xe5709af4301c07991b22ddffb7e7b2189d60faa"/>
      <w:r>
        <w:t xml:space="preserve">Cinco Políticas para Transformar la Salud en Argentina</w:t>
      </w:r>
      <w:bookmarkEnd w:id="24"/>
    </w:p>
    <w:p>
      <w:r>
        <w:pict>
          <v:rect style="width:0;height:1.5pt" o:hralign="center" o:hrstd="t" o:hr="t"/>
        </w:pict>
      </w:r>
    </w:p>
    <w:p>
      <w:pPr>
        <w:pStyle w:val="Heading2"/>
      </w:pPr>
      <w:bookmarkStart w:id="25" w:name="X9d66a8f21352e99d9a79465e1a274512ecb85e0"/>
      <w:r>
        <w:t xml:space="preserve">Política 1: Equipos Territoriales de Salud Comunitaria</w:t>
      </w:r>
      <w:bookmarkEnd w:id="25"/>
    </w:p>
    <w:p>
      <w:pPr>
        <w:pStyle w:val="FirstParagraph"/>
      </w:pPr>
      <w:r>
        <w:rPr>
          <w:i/>
        </w:rPr>
        <w:t xml:space="preserve">Inspirada en Costa Rica (EBAIS), Ruanda (CHW), Brasil (Saúde da Família) y Cuba (médico de familia)</w:t>
      </w:r>
    </w:p>
    <w:p>
      <w:pPr>
        <w:pStyle w:val="Heading3"/>
      </w:pPr>
      <w:bookmarkStart w:id="26" w:name="qué-es"/>
      <w:r>
        <w:t xml:space="preserve">Qué es</w:t>
      </w:r>
      <w:bookmarkEnd w:id="26"/>
    </w:p>
    <w:p>
      <w:pPr>
        <w:pStyle w:val="FirstParagraph"/>
      </w:pPr>
      <w:r>
        <w:t xml:space="preserve">Un programa que despliega</w:t>
      </w:r>
      <w:r>
        <w:t xml:space="preserve"> </w:t>
      </w:r>
      <w:r>
        <w:rPr>
          <w:b/>
        </w:rPr>
        <w:t xml:space="preserve">5.000 Equipos Territoriales de Salud</w:t>
      </w:r>
      <w:r>
        <w:t xml:space="preserve"> </w:t>
      </w:r>
      <w:r>
        <w:t xml:space="preserve">en todo el país. Cada equipo cubre un territorio de 3.000 a 5.000 personas y está compuesto por un médico generalista, dos enfermeros, un agente sanitario comunitario, un psicólogo (compartido entre 3-4 equipos) y un trabajador social (compartido). El equipo no espera en un consultorio —</w:t>
      </w:r>
      <w:r>
        <w:t xml:space="preserve"> </w:t>
      </w:r>
      <w:r>
        <w:rPr>
          <w:b/>
        </w:rPr>
        <w:t xml:space="preserve">va a buscar a la gente</w:t>
      </w:r>
      <w:r>
        <w:t xml:space="preserve">.</w:t>
      </w:r>
    </w:p>
    <w:p>
      <w:pPr>
        <w:pStyle w:val="BodyText"/>
      </w:pPr>
      <w:r>
        <w:t xml:space="preserve">Cada equipo tiene un listado nominal de las familias de su territorio. Conoce quiénes son diabéticos, quiénes están embarazadas, quiénes dejaron de tomar la medicación, qué anciano vive solo, qué niño faltó a la vacuna. El médico nuevo recibe presupuesto, territorio y una meta: que nadie en su zona se enferme de algo prevenible sin que el equipo lo haya intentado evitar.</w:t>
      </w:r>
    </w:p>
    <w:p>
      <w:pPr>
        <w:pStyle w:val="Heading3"/>
      </w:pPr>
      <w:bookmarkStart w:id="27" w:name="por-qué-esta-política"/>
      <w:r>
        <w:t xml:space="preserve">Por qué esta política</w:t>
      </w:r>
      <w:bookmarkEnd w:id="27"/>
    </w:p>
    <w:p>
      <w:pPr>
        <w:pStyle w:val="FirstParagraph"/>
      </w:pPr>
      <w:r>
        <w:t xml:space="preserve">Costa Rica logra una esperanza de vida de</w:t>
      </w:r>
      <w:r>
        <w:t xml:space="preserve"> </w:t>
      </w:r>
      <w:r>
        <w:rPr>
          <w:b/>
        </w:rPr>
        <w:t xml:space="preserve">81 años</w:t>
      </w:r>
      <w:r>
        <w:t xml:space="preserve"> </w:t>
      </w:r>
      <w:r>
        <w:t xml:space="preserve">— superior a la de Estados Unidos — gastando solo el</w:t>
      </w:r>
      <w:r>
        <w:t xml:space="preserve"> </w:t>
      </w:r>
      <w:r>
        <w:rPr>
          <w:b/>
        </w:rPr>
        <w:t xml:space="preserve">5,3% de su PBI en salud</w:t>
      </w:r>
      <w:r>
        <w:t xml:space="preserve"> </w:t>
      </w:r>
      <w:r>
        <w:t xml:space="preserve">(la mitad que Argentina). El secreto es el sistema EBAIS: equipos de atención básica integral que cubren el 94% del territorio. Cada equipo conoce a sus familias. El médico va a la casa a hacer análisis de sangre a los mayores de 50. No espera a que el paciente llegue con cáncer avanzado.</w:t>
      </w:r>
    </w:p>
    <w:p>
      <w:pPr>
        <w:pStyle w:val="BodyText"/>
      </w:pPr>
      <w:r>
        <w:t xml:space="preserve">Ruanda, un país devastado por el genocidio, puso</w:t>
      </w:r>
      <w:r>
        <w:t xml:space="preserve"> </w:t>
      </w:r>
      <w:r>
        <w:rPr>
          <w:b/>
        </w:rPr>
        <w:t xml:space="preserve">60.000 trabajadores comunitarios de salud</w:t>
      </w:r>
      <w:r>
        <w:t xml:space="preserve"> </w:t>
      </w:r>
      <w:r>
        <w:t xml:space="preserve">en cada aldea. Reducción de mortalidad infantil: 75%. Reducción de malaria: 80%. Costo: USD 3 por persona por año.</w:t>
      </w:r>
    </w:p>
    <w:p>
      <w:pPr>
        <w:pStyle w:val="BodyText"/>
      </w:pPr>
      <w:r>
        <w:t xml:space="preserve">Brasil desplegó</w:t>
      </w:r>
      <w:r>
        <w:t xml:space="preserve"> </w:t>
      </w:r>
      <w:r>
        <w:rPr>
          <w:b/>
        </w:rPr>
        <w:t xml:space="preserve">42.000 equipos de Saúde da Família</w:t>
      </w:r>
      <w:r>
        <w:t xml:space="preserve"> </w:t>
      </w:r>
      <w:r>
        <w:t xml:space="preserve">con 260.000 agentes comunitarios. Resultado: la mortalidad infantil se redujo en dos tercios. Las hospitalizaciones evitables cayeron un 45% en las zonas cubiertas.</w:t>
      </w:r>
    </w:p>
    <w:p>
      <w:pPr>
        <w:pStyle w:val="BodyText"/>
      </w:pPr>
      <w:r>
        <w:t xml:space="preserve">Argentina tiene los CAPS (Centros de Atención Primaria de Salud), pero funcionan como mini-hospitales: atienden demanda espontánea en vez de ir a buscar al que no viene. Esta política los transforma de pasivos a activos.</w:t>
      </w:r>
    </w:p>
    <w:p>
      <w:pPr>
        <w:pStyle w:val="Heading3"/>
      </w:pPr>
      <w:bookmarkStart w:id="28" w:name="diseño-para-argentina"/>
      <w:r>
        <w:t xml:space="preserve">Diseño para Argentina</w:t>
      </w:r>
      <w:bookmarkEnd w:id="28"/>
    </w:p>
    <w:p>
      <w:pPr>
        <w:pStyle w:val="FirstParagraph"/>
      </w:pPr>
      <w:r>
        <w:rPr>
          <w:b/>
        </w:rPr>
        <w:t xml:space="preserve">Estructura de cada Equipo Territorial:</w:t>
      </w:r>
      <w:r>
        <w:t xml:space="preserve"> </w:t>
      </w:r>
      <w:r>
        <w:t xml:space="preserve">- 1 médico generalista (con formación en medicina familiar)</w:t>
      </w:r>
      <w:r>
        <w:t xml:space="preserve"> </w:t>
      </w:r>
      <w:r>
        <w:t xml:space="preserve">- 2 enfermeros/as</w:t>
      </w:r>
      <w:r>
        <w:t xml:space="preserve"> </w:t>
      </w:r>
      <w:r>
        <w:t xml:space="preserve">- 1 agente sanitario comunitario (idealmente del mismo barrio)</w:t>
      </w:r>
      <w:r>
        <w:t xml:space="preserve"> </w:t>
      </w:r>
      <w:r>
        <w:t xml:space="preserve">- 1 psicólogo/a (compartido con 3 equipos)</w:t>
      </w:r>
      <w:r>
        <w:t xml:space="preserve"> </w:t>
      </w:r>
      <w:r>
        <w:t xml:space="preserve">- 1 trabajador/a social (compartido con 3 equipos)</w:t>
      </w:r>
      <w:r>
        <w:t xml:space="preserve"> </w:t>
      </w:r>
      <w:r>
        <w:t xml:space="preserve">- Equipamiento: tensiómetro, glucómetro, kit de análisis básicos, balanza pediátrica, oxímetro, tablet con historia clínica digital</w:t>
      </w:r>
      <w:r>
        <w:t xml:space="preserve"> </w:t>
      </w:r>
      <w:r>
        <w:t xml:space="preserve">- Vehículo compartido entre 3-4 equipos para visitas domiciliarias</w:t>
      </w:r>
    </w:p>
    <w:p>
      <w:pPr>
        <w:pStyle w:val="BodyText"/>
      </w:pPr>
      <w:r>
        <w:rPr>
          <w:b/>
        </w:rPr>
        <w:t xml:space="preserve">Funciones clave:</w:t>
      </w:r>
      <w:r>
        <w:t xml:space="preserve"> </w:t>
      </w:r>
      <w:r>
        <w:t xml:space="preserve">- Visita domiciliaria a toda familia nueva (censo de salud)</w:t>
      </w:r>
      <w:r>
        <w:t xml:space="preserve"> </w:t>
      </w:r>
      <w:r>
        <w:t xml:space="preserve">- Seguimiento de embarazos (toda embarazada visitada al menos 6 veces)</w:t>
      </w:r>
      <w:r>
        <w:t xml:space="preserve"> </w:t>
      </w:r>
      <w:r>
        <w:t xml:space="preserve">- Control de vacunación (0% de niños sin vacunar en el territorio)</w:t>
      </w:r>
      <w:r>
        <w:t xml:space="preserve"> </w:t>
      </w:r>
      <w:r>
        <w:t xml:space="preserve">- Rastreo activo de hipertensión, diabetes, Chagas en mayores de 40</w:t>
      </w:r>
      <w:r>
        <w:t xml:space="preserve"> </w:t>
      </w:r>
      <w:r>
        <w:t xml:space="preserve">- Búsqueda activa de sintomáticos respiratorios (TB)</w:t>
      </w:r>
      <w:r>
        <w:t xml:space="preserve"> </w:t>
      </w:r>
      <w:r>
        <w:t xml:space="preserve">- Detección temprana de dengue y derivación</w:t>
      </w:r>
      <w:r>
        <w:t xml:space="preserve"> </w:t>
      </w:r>
      <w:r>
        <w:t xml:space="preserve">- Acompañamiento de pacientes crónicos (medicación, controles)</w:t>
      </w:r>
      <w:r>
        <w:t xml:space="preserve"> </w:t>
      </w:r>
      <w:r>
        <w:t xml:space="preserve">- Tamizaje de salud mental (PHQ-9 para depresión, detección de riesgo suicida)</w:t>
      </w:r>
      <w:r>
        <w:t xml:space="preserve"> </w:t>
      </w:r>
      <w:r>
        <w:t xml:space="preserve">- Detección temprana de TEA en niños de 18-36 meses (M-CHAT)</w:t>
      </w:r>
      <w:r>
        <w:t xml:space="preserve"> </w:t>
      </w:r>
      <w:r>
        <w:t xml:space="preserve">- Conexión con servicios sociales (AUH, vivienda, violencia de género)</w:t>
      </w:r>
    </w:p>
    <w:p>
      <w:pPr>
        <w:pStyle w:val="BodyText"/>
      </w:pPr>
      <w:r>
        <w:rPr>
          <w:b/>
        </w:rPr>
        <w:t xml:space="preserve">Priorización geográfica:</w:t>
      </w:r>
      <w:r>
        <w:t xml:space="preserve"> </w:t>
      </w:r>
      <w:r>
        <w:t xml:space="preserve">Los primeros 2.000 equipos se despliegan en barrios populares (RENABAP), comunidades indígenas, y provincias con peores indicadores (Formosa, Chaco, Salta, Santiago del Estero, Tucumán, Misiones). Luego se expande a todo el territorio.</w:t>
      </w:r>
    </w:p>
    <w:p>
      <w:pPr>
        <w:pStyle w:val="BodyText"/>
      </w:pPr>
      <w:r>
        <w:rPr>
          <w:b/>
        </w:rPr>
        <w:t xml:space="preserve">Meta:</w:t>
      </w:r>
      <w:r>
        <w:t xml:space="preserve"> </w:t>
      </w:r>
      <w:r>
        <w:t xml:space="preserve">5.000 equipos cubriendo</w:t>
      </w:r>
      <w:r>
        <w:t xml:space="preserve"> </w:t>
      </w:r>
      <w:r>
        <w:rPr>
          <w:b/>
        </w:rPr>
        <w:t xml:space="preserve">20 millones de personas</w:t>
      </w:r>
      <w:r>
        <w:t xml:space="preserve"> </w:t>
      </w:r>
      <w:r>
        <w:t xml:space="preserve">(45% de la población) en 5 años, priorizando a quienes hoy no tienen acceso.</w:t>
      </w:r>
    </w:p>
    <w:p>
      <w:pPr>
        <w:pStyle w:val="Heading3"/>
      </w:pPr>
      <w:bookmarkStart w:id="29" w:name="costeo"/>
      <w:r>
        <w:t xml:space="preserve">Costeo</w:t>
      </w:r>
      <w:bookmarkEnd w:id="29"/>
    </w:p>
    <w:tbl>
      <w:tblPr>
        <w:tblStyle w:val="Table"/>
        <w:tblW w:type="pct" w:w="5000.0"/>
        <w:tblLook w:firstRow="1"/>
      </w:tblPr>
      <w:tblGrid>
        <w:gridCol w:w="1414"/>
        <w:gridCol w:w="2121"/>
        <w:gridCol w:w="4384"/>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Costo unitario</w:t>
            </w:r>
          </w:p>
        </w:tc>
        <w:tc>
          <w:tcPr>
            <w:tcBorders>
              <w:bottom w:val="single"/>
            </w:tcBorders>
            <w:vAlign w:val="bottom"/>
          </w:tcPr>
          <w:p>
            <w:pPr>
              <w:pStyle w:val="Compact"/>
              <w:jc w:val="left"/>
            </w:pPr>
            <w:r>
              <w:t xml:space="preserve">Total (5.000 equipos, 5 años)</w:t>
            </w:r>
          </w:p>
        </w:tc>
      </w:tr>
      <w:tr>
        <w:tc>
          <w:p>
            <w:pPr>
              <w:pStyle w:val="Compact"/>
              <w:jc w:val="left"/>
            </w:pPr>
            <w:r>
              <w:t xml:space="preserve">Salarios del equipo (médico + 2 enfermeros + agente)</w:t>
            </w:r>
          </w:p>
        </w:tc>
        <w:tc>
          <w:p>
            <w:pPr>
              <w:pStyle w:val="Compact"/>
              <w:jc w:val="left"/>
            </w:pPr>
            <w:r>
              <w:t xml:space="preserve">USD 60.000/equipo/año</w:t>
            </w:r>
          </w:p>
        </w:tc>
        <w:tc>
          <w:p>
            <w:pPr>
              <w:pStyle w:val="Compact"/>
              <w:jc w:val="left"/>
            </w:pPr>
            <w:r>
              <w:t xml:space="preserve">USD 1.500 millones</w:t>
            </w:r>
          </w:p>
        </w:tc>
      </w:tr>
      <w:tr>
        <w:tc>
          <w:p>
            <w:pPr>
              <w:pStyle w:val="Compact"/>
              <w:jc w:val="left"/>
            </w:pPr>
            <w:r>
              <w:t xml:space="preserve">Psicólogos y trabajadores sociales (compartidos)</w:t>
            </w:r>
          </w:p>
        </w:tc>
        <w:tc>
          <w:p>
            <w:pPr>
              <w:pStyle w:val="Compact"/>
              <w:jc w:val="left"/>
            </w:pPr>
            <w:r>
              <w:t xml:space="preserve">USD 15.000/equipo/año</w:t>
            </w:r>
          </w:p>
        </w:tc>
        <w:tc>
          <w:p>
            <w:pPr>
              <w:pStyle w:val="Compact"/>
              <w:jc w:val="left"/>
            </w:pPr>
            <w:r>
              <w:t xml:space="preserve">USD 375 millones</w:t>
            </w:r>
          </w:p>
        </w:tc>
      </w:tr>
      <w:tr>
        <w:tc>
          <w:p>
            <w:pPr>
              <w:pStyle w:val="Compact"/>
              <w:jc w:val="left"/>
            </w:pPr>
            <w:r>
              <w:t xml:space="preserve">Equipamiento e insumos</w:t>
            </w:r>
          </w:p>
        </w:tc>
        <w:tc>
          <w:p>
            <w:pPr>
              <w:pStyle w:val="Compact"/>
              <w:jc w:val="left"/>
            </w:pPr>
            <w:r>
              <w:t xml:space="preserve">USD 5.000/equipo/año</w:t>
            </w:r>
          </w:p>
        </w:tc>
        <w:tc>
          <w:p>
            <w:pPr>
              <w:pStyle w:val="Compact"/>
              <w:jc w:val="left"/>
            </w:pPr>
            <w:r>
              <w:t xml:space="preserve">USD 125 millones</w:t>
            </w:r>
          </w:p>
        </w:tc>
      </w:tr>
      <w:tr>
        <w:tc>
          <w:p>
            <w:pPr>
              <w:pStyle w:val="Compact"/>
              <w:jc w:val="left"/>
            </w:pPr>
            <w:r>
              <w:t xml:space="preserve">Formación inicial (6 meses por equipo)</w:t>
            </w:r>
          </w:p>
        </w:tc>
        <w:tc>
          <w:p>
            <w:pPr>
              <w:pStyle w:val="Compact"/>
              <w:jc w:val="left"/>
            </w:pPr>
            <w:r>
              <w:t xml:space="preserve">USD 8.000/equipo</w:t>
            </w:r>
          </w:p>
        </w:tc>
        <w:tc>
          <w:p>
            <w:pPr>
              <w:pStyle w:val="Compact"/>
              <w:jc w:val="left"/>
            </w:pPr>
            <w:r>
              <w:t xml:space="preserve">USD 40 millones</w:t>
            </w:r>
          </w:p>
        </w:tc>
      </w:tr>
      <w:tr>
        <w:tc>
          <w:p>
            <w:pPr>
              <w:pStyle w:val="Compact"/>
              <w:jc w:val="left"/>
            </w:pPr>
            <w:r>
              <w:t xml:space="preserve">Vehículos (1 cada 3 equipos)</w:t>
            </w:r>
          </w:p>
        </w:tc>
        <w:tc>
          <w:p>
            <w:pPr>
              <w:pStyle w:val="Compact"/>
              <w:jc w:val="left"/>
            </w:pPr>
            <w:r>
              <w:t xml:space="preserve">USD 15.000/vehículo</w:t>
            </w:r>
          </w:p>
        </w:tc>
        <w:tc>
          <w:p>
            <w:pPr>
              <w:pStyle w:val="Compact"/>
              <w:jc w:val="left"/>
            </w:pPr>
            <w:r>
              <w:t xml:space="preserve">USD 25 millones</w:t>
            </w:r>
          </w:p>
        </w:tc>
      </w:tr>
      <w:tr>
        <w:tc>
          <w:p>
            <w:pPr>
              <w:pStyle w:val="Compact"/>
              <w:jc w:val="left"/>
            </w:pPr>
            <w:r>
              <w:t xml:space="preserve">Sistema digital (tablet + historia clínica electrónica)</w:t>
            </w:r>
          </w:p>
        </w:tc>
        <w:tc>
          <w:p>
            <w:pPr>
              <w:pStyle w:val="Compact"/>
              <w:jc w:val="left"/>
            </w:pPr>
            <w:r>
              <w:t xml:space="preserve">USD 3.000/equipo/año</w:t>
            </w:r>
          </w:p>
        </w:tc>
        <w:tc>
          <w:p>
            <w:pPr>
              <w:pStyle w:val="Compact"/>
              <w:jc w:val="left"/>
            </w:pPr>
            <w:r>
              <w:t xml:space="preserve">USD 75 millones</w:t>
            </w:r>
          </w:p>
        </w:tc>
      </w:tr>
      <w:tr>
        <w:tc>
          <w:p>
            <w:pPr>
              <w:pStyle w:val="Compact"/>
              <w:jc w:val="left"/>
            </w:pPr>
            <w:r>
              <w:t xml:space="preserve">Coordinación y supervisión</w:t>
            </w:r>
          </w:p>
        </w:tc>
        <w:tc>
          <w:p>
            <w:pPr>
              <w:pStyle w:val="Compact"/>
              <w:jc w:val="left"/>
            </w:pPr>
            <w:r>
              <w:t xml:space="preserve">—</w:t>
            </w:r>
          </w:p>
        </w:tc>
        <w:tc>
          <w:p>
            <w:pPr>
              <w:pStyle w:val="Compact"/>
              <w:jc w:val="left"/>
            </w:pPr>
            <w:r>
              <w:t xml:space="preserve">USD 100 millones</w:t>
            </w:r>
          </w:p>
        </w:tc>
      </w:tr>
      <w:tr>
        <w:tc>
          <w:p>
            <w:pPr>
              <w:pStyle w:val="Compact"/>
              <w:jc w:val="left"/>
            </w:pPr>
            <w:r>
              <w:rPr>
                <w:b/>
              </w:rPr>
              <w:t xml:space="preserve">Total</w:t>
            </w:r>
          </w:p>
        </w:tc>
        <w:tc>
          <w:p/>
        </w:tc>
        <w:tc>
          <w:p>
            <w:pPr>
              <w:pStyle w:val="Compact"/>
              <w:jc w:val="left"/>
            </w:pPr>
            <w:r>
              <w:rPr>
                <w:b/>
              </w:rPr>
              <w:t xml:space="preserve">USD 2.240 millones (5 años)</w:t>
            </w:r>
          </w:p>
        </w:tc>
      </w:tr>
      <w:tr>
        <w:tc>
          <w:p>
            <w:pPr>
              <w:pStyle w:val="Compact"/>
              <w:jc w:val="left"/>
            </w:pPr>
            <w:r>
              <w:rPr>
                <w:b/>
              </w:rPr>
              <w:t xml:space="preserve">Costo por persona cubierta/año</w:t>
            </w:r>
          </w:p>
        </w:tc>
        <w:tc>
          <w:p/>
        </w:tc>
        <w:tc>
          <w:p>
            <w:pPr>
              <w:pStyle w:val="Compact"/>
              <w:jc w:val="left"/>
            </w:pPr>
            <w:r>
              <w:rPr>
                <w:b/>
              </w:rPr>
              <w:t xml:space="preserve">USD 22,4</w:t>
            </w:r>
          </w:p>
        </w:tc>
      </w:tr>
    </w:tbl>
    <w:p>
      <w:pPr>
        <w:pStyle w:val="BodyText"/>
      </w:pPr>
      <w:r>
        <w:rPr>
          <w:i/>
        </w:rPr>
        <w:t xml:space="preserve">Nota: USD 22 por persona por año es comparable al modelo de Ruanda (USD 3) ajustado a los salarios argentinos, y una fracción del gasto actual de USD 1.081 per cápita. Es la intervención más costo-efectiva en salud pública.</w:t>
      </w:r>
    </w:p>
    <w:p>
      <w:pPr>
        <w:pStyle w:val="Heading3"/>
      </w:pPr>
      <w:bookmarkStart w:id="30" w:name="financiamiento"/>
      <w:r>
        <w:t xml:space="preserve">Financiamiento</w:t>
      </w:r>
      <w:bookmarkEnd w:id="30"/>
    </w:p>
    <w:p>
      <w:pPr>
        <w:numPr>
          <w:ilvl w:val="0"/>
          <w:numId w:val="1002"/>
        </w:numPr>
        <w:pStyle w:val="Compact"/>
      </w:pPr>
      <w:r>
        <w:rPr>
          <w:b/>
        </w:rPr>
        <w:t xml:space="preserve">40% — Presupuesto nacional (reasignación):</w:t>
      </w:r>
      <w:r>
        <w:t xml:space="preserve"> </w:t>
      </w:r>
      <w:r>
        <w:t xml:space="preserve">USD 896 millones. Argentina gasta USD 64.000M/año en salud. Redirigir el 1,4% del gasto actual de hospitalario a comunitario financia esto. Cada internación evitada ahorra USD 2.000-5.000.</w:t>
      </w:r>
    </w:p>
    <w:p>
      <w:pPr>
        <w:numPr>
          <w:ilvl w:val="0"/>
          <w:numId w:val="1002"/>
        </w:numPr>
        <w:pStyle w:val="Compact"/>
      </w:pPr>
      <w:r>
        <w:rPr>
          <w:b/>
        </w:rPr>
        <w:t xml:space="preserve">30% — BID/OPS/Banco Mundial:</w:t>
      </w:r>
      <w:r>
        <w:t xml:space="preserve"> </w:t>
      </w:r>
      <w:r>
        <w:t xml:space="preserve">USD 672 millones. El BID ya financia programas de atención primaria en Argentina (Plan Nacer/Sumar). Se amplía con nuevo préstamo a 25 años.</w:t>
      </w:r>
    </w:p>
    <w:p>
      <w:pPr>
        <w:numPr>
          <w:ilvl w:val="0"/>
          <w:numId w:val="1002"/>
        </w:numPr>
        <w:pStyle w:val="Compact"/>
      </w:pPr>
      <w:r>
        <w:rPr>
          <w:b/>
        </w:rPr>
        <w:t xml:space="preserve">20% — Obras sociales y prepagas (contribución obligatoria):</w:t>
      </w:r>
      <w:r>
        <w:t xml:space="preserve"> </w:t>
      </w:r>
      <w:r>
        <w:t xml:space="preserve">USD 448 millones. Se establece que toda obra social y prepaga debe financiar o contratar equipos territoriales para sus afiliados en zonas prioritarias.</w:t>
      </w:r>
    </w:p>
    <w:p>
      <w:pPr>
        <w:numPr>
          <w:ilvl w:val="0"/>
          <w:numId w:val="1002"/>
        </w:numPr>
        <w:pStyle w:val="Compact"/>
      </w:pPr>
      <w:r>
        <w:rPr>
          <w:b/>
        </w:rPr>
        <w:t xml:space="preserve">10% — Cooperación internacional (OPS, UNICEF, Global Fund):</w:t>
      </w:r>
      <w:r>
        <w:t xml:space="preserve"> </w:t>
      </w:r>
      <w:r>
        <w:t xml:space="preserve">USD 224 millones en donaciones y asistencia técnica, especialmente para componentes de TB, VIH, Chagas.</w:t>
      </w:r>
    </w:p>
    <w:p>
      <w:pPr>
        <w:pStyle w:val="Heading3"/>
      </w:pPr>
      <w:bookmarkStart w:id="31" w:name="diálogo-con-el-marco-teórico"/>
      <w:r>
        <w:t xml:space="preserve">Diálogo con el marco teórico</w:t>
      </w:r>
      <w:bookmarkEnd w:id="31"/>
    </w:p>
    <w:p>
      <w:pPr>
        <w:pStyle w:val="FirstParagraph"/>
      </w:pPr>
      <w:r>
        <w:t xml:space="preserve">Esta política encarna la idea central de</w:t>
      </w:r>
      <w:r>
        <w:t xml:space="preserve"> </w:t>
      </w:r>
      <w:r>
        <w:rPr>
          <w:b/>
        </w:rPr>
        <w:t xml:space="preserve">Kate Raworth</w:t>
      </w:r>
      <w:r>
        <w:t xml:space="preserve">: el piso social no negociable incluye salud, y la forma más eficiente de garantizarlo no es construir más hospitales sino llevar prevención a cada hogar.</w:t>
      </w:r>
    </w:p>
    <w:p>
      <w:pPr>
        <w:pStyle w:val="BodyText"/>
      </w:pPr>
      <w:r>
        <w:t xml:space="preserve">Conecta con</w:t>
      </w:r>
      <w:r>
        <w:t xml:space="preserve"> </w:t>
      </w:r>
      <w:r>
        <w:rPr>
          <w:b/>
        </w:rPr>
        <w:t xml:space="preserve">Manfred Max-Neef</w:t>
      </w:r>
      <w:r>
        <w:t xml:space="preserve"> </w:t>
      </w:r>
      <w:r>
        <w:t xml:space="preserve">y el desarrollo a escala humana: un equipo de 4 personas que conoce a 4.000 es escala humana. Un hospital de 500 camas atendiendo a 2 millones es escala inhumana.</w:t>
      </w:r>
    </w:p>
    <w:p>
      <w:pPr>
        <w:pStyle w:val="BodyText"/>
      </w:pPr>
      <w:r>
        <w:t xml:space="preserve">Dialoga con</w:t>
      </w:r>
      <w:r>
        <w:t xml:space="preserve"> </w:t>
      </w:r>
      <w:r>
        <w:rPr>
          <w:b/>
        </w:rPr>
        <w:t xml:space="preserve">Mariana Mazzucato</w:t>
      </w:r>
      <w:r>
        <w:t xml:space="preserve"> </w:t>
      </w:r>
      <w:r>
        <w:t xml:space="preserve">y las misiones:</w:t>
      </w:r>
      <w:r>
        <w:t xml:space="preserve"> </w:t>
      </w:r>
      <w:r>
        <w:t xml:space="preserve">“</w:t>
      </w:r>
      <w:r>
        <w:t xml:space="preserve">Cero muertes evitables por falta de acceso</w:t>
      </w:r>
      <w:r>
        <w:t xml:space="preserve">”</w:t>
      </w:r>
      <w:r>
        <w:t xml:space="preserve"> </w:t>
      </w:r>
      <w:r>
        <w:t xml:space="preserve">es una misión concreta, medible, ambiciosa. Requiere que el Estado coordine actores públicos y privados (obras sociales, municipios, hospitales) hacia un objetivo compartido.</w:t>
      </w:r>
    </w:p>
    <w:p>
      <w:pPr>
        <w:pStyle w:val="BodyText"/>
      </w:pPr>
      <w:r>
        <w:t xml:space="preserve">Y toca algo profundo: que un agente sanitario toque la puerta de una familia en un barrio popular y pregunte</w:t>
      </w:r>
      <w:r>
        <w:t xml:space="preserve"> </w:t>
      </w:r>
      <w:r>
        <w:t xml:space="preserve">“</w:t>
      </w:r>
      <w:r>
        <w:t xml:space="preserve">¿cómo están? ¿necesitan algo?</w:t>
      </w:r>
      <w:r>
        <w:t xml:space="preserve">”</w:t>
      </w:r>
      <w:r>
        <w:t xml:space="preserve"> </w:t>
      </w:r>
      <w:r>
        <w:t xml:space="preserve">es un acto de cuidado que transforma la relación entre Estado y ciudadano. No es burocracia — es alguien que se preocupa.</w:t>
      </w:r>
    </w:p>
    <w:p>
      <w:r>
        <w:pict>
          <v:rect style="width:0;height:1.5pt" o:hralign="center" o:hrstd="t" o:hr="t"/>
        </w:pict>
      </w:r>
    </w:p>
    <w:p>
      <w:pPr>
        <w:pStyle w:val="Heading2"/>
      </w:pPr>
      <w:bookmarkStart w:id="32" w:name="Xd523188ed120f92e688d5efaf24f6aaef1a140b"/>
      <w:r>
        <w:t xml:space="preserve">Política 2: Red Nacional de Diagnóstico Asistido por IA</w:t>
      </w:r>
      <w:bookmarkEnd w:id="32"/>
    </w:p>
    <w:p>
      <w:pPr>
        <w:pStyle w:val="FirstParagraph"/>
      </w:pPr>
      <w:r>
        <w:rPr>
          <w:i/>
        </w:rPr>
        <w:t xml:space="preserve">Inspirada en Estonia (historia clínica digital), Israel (precision medicine), y los avances globales en AI diagnóstica</w:t>
      </w:r>
    </w:p>
    <w:p>
      <w:pPr>
        <w:pStyle w:val="Heading3"/>
      </w:pPr>
      <w:bookmarkStart w:id="33" w:name="qué-es-1"/>
      <w:r>
        <w:t xml:space="preserve">Qué es</w:t>
      </w:r>
      <w:bookmarkEnd w:id="33"/>
    </w:p>
    <w:p>
      <w:pPr>
        <w:pStyle w:val="FirstParagraph"/>
      </w:pPr>
      <w:r>
        <w:t xml:space="preserve">Una plataforma nacional de inteligencia artificial que asiste a los médicos en tres cosas: diagnóstico por imágenes (radiografías, ecografías, tomografías, dermatoscopías), detección temprana de patrones (diabetes no diagnosticada, riesgo cardiovascular, sospecha de cáncer) y apoyo a la decisión clínica (sugerencia de tratamientos basada en evidencia).</w:t>
      </w:r>
    </w:p>
    <w:p>
      <w:pPr>
        <w:pStyle w:val="BodyText"/>
      </w:pPr>
      <w:r>
        <w:t xml:space="preserve">No reemplaza al médico — lo potencia. Especialmente al médico rural de Formosa que está solo y no tiene un radiólogo disponible.</w:t>
      </w:r>
    </w:p>
    <w:p>
      <w:pPr>
        <w:pStyle w:val="BodyText"/>
      </w:pPr>
      <w:r>
        <w:t xml:space="preserve">Se complementa con una</w:t>
      </w:r>
      <w:r>
        <w:t xml:space="preserve"> </w:t>
      </w:r>
      <w:r>
        <w:rPr>
          <w:b/>
        </w:rPr>
        <w:t xml:space="preserve">Historia Clínica Electrónica Nacional (HCEN)</w:t>
      </w:r>
      <w:r>
        <w:t xml:space="preserve"> </w:t>
      </w:r>
      <w:r>
        <w:t xml:space="preserve">interoperable entre los tres subsistemas, para que cuando un paciente se atienda en cualquier lugar del país, toda su historia esté disponible.</w:t>
      </w:r>
    </w:p>
    <w:p>
      <w:pPr>
        <w:pStyle w:val="Heading3"/>
      </w:pPr>
      <w:bookmarkStart w:id="34" w:name="por-qué-esta-política-1"/>
      <w:r>
        <w:t xml:space="preserve">Por qué esta política</w:t>
      </w:r>
      <w:bookmarkEnd w:id="34"/>
    </w:p>
    <w:p>
      <w:pPr>
        <w:pStyle w:val="FirstParagraph"/>
      </w:pPr>
      <w:r>
        <w:t xml:space="preserve">Estonia digitalizó completamente su sistema de salud: el</w:t>
      </w:r>
      <w:r>
        <w:t xml:space="preserve"> </w:t>
      </w:r>
      <w:r>
        <w:rPr>
          <w:b/>
        </w:rPr>
        <w:t xml:space="preserve">99% de las prescripciones son electrónicas</w:t>
      </w:r>
      <w:r>
        <w:t xml:space="preserve">, el 99% de los datos de pacientes están en formato digital, y cualquier médico puede acceder a la historia clínica de cualquier ciudadano (con su consentimiento). Resultado: menos estudios duplicados, menos errores de medicación, más continuidad del cuidado.</w:t>
      </w:r>
    </w:p>
    <w:p>
      <w:pPr>
        <w:pStyle w:val="BodyText"/>
      </w:pPr>
      <w:r>
        <w:t xml:space="preserve">En Israel, la base de datos de Clalit (4,7 millones de pacientes, 25 años de datos) permitió desarrollar algoritmos que detectan cáncer de mama con</w:t>
      </w:r>
      <w:r>
        <w:t xml:space="preserve"> </w:t>
      </w:r>
      <w:r>
        <w:rPr>
          <w:b/>
        </w:rPr>
        <w:t xml:space="preserve">94,5% de precisión</w:t>
      </w:r>
      <w:r>
        <w:t xml:space="preserve"> </w:t>
      </w:r>
      <w:r>
        <w:t xml:space="preserve">— superior a muchos radiólogos. Para un país como Argentina donde un mamógrafo en Chaco puede esperar semanas por un informe, que una AI lea la imagen en segundos y alerte al médico es transformador.</w:t>
      </w:r>
    </w:p>
    <w:p>
      <w:pPr>
        <w:pStyle w:val="BodyText"/>
      </w:pPr>
      <w:r>
        <w:t xml:space="preserve">El modelo Pillar-0 (open source, 2025) ya permite analizar imágenes de retina, ECG, y radiografías de tórax con un solo modelo multi-modal. Cuesta una fracción de un especialista.</w:t>
      </w:r>
    </w:p>
    <w:p>
      <w:pPr>
        <w:pStyle w:val="Heading3"/>
      </w:pPr>
      <w:bookmarkStart w:id="35" w:name="diseño-para-argentina-1"/>
      <w:r>
        <w:t xml:space="preserve">Diseño para Argentina</w:t>
      </w:r>
      <w:bookmarkEnd w:id="35"/>
    </w:p>
    <w:p>
      <w:pPr>
        <w:pStyle w:val="FirstParagraph"/>
      </w:pPr>
      <w:r>
        <w:rPr>
          <w:b/>
        </w:rPr>
        <w:t xml:space="preserve">Componente 1 — Historia Clínica Electrónica Nacional:</w:t>
      </w:r>
      <w:r>
        <w:t xml:space="preserve"> </w:t>
      </w:r>
      <w:r>
        <w:t xml:space="preserve">- Basada en estándares FHIR (interoperabilidad)</w:t>
      </w:r>
      <w:r>
        <w:t xml:space="preserve"> </w:t>
      </w:r>
      <w:r>
        <w:t xml:space="preserve">- Integra los tres subsistemas (público, obras sociales, prepagas)</w:t>
      </w:r>
      <w:r>
        <w:t xml:space="preserve"> </w:t>
      </w:r>
      <w:r>
        <w:t xml:space="preserve">- Cada ciudadano con DNI tiene su historia</w:t>
      </w:r>
      <w:r>
        <w:t xml:space="preserve"> </w:t>
      </w:r>
      <w:r>
        <w:t xml:space="preserve">- Acceso desde cualquier CAPS, hospital, consultorio</w:t>
      </w:r>
      <w:r>
        <w:t xml:space="preserve"> </w:t>
      </w:r>
      <w:r>
        <w:t xml:space="preserve">- Consentimiento informado del paciente para compartir datos</w:t>
      </w:r>
      <w:r>
        <w:t xml:space="preserve"> </w:t>
      </w:r>
      <w:r>
        <w:t xml:space="preserve">- Soberanía de datos: servidores en Argentina (ARSAT)</w:t>
      </w:r>
    </w:p>
    <w:p>
      <w:pPr>
        <w:pStyle w:val="BodyText"/>
      </w:pPr>
      <w:r>
        <w:rPr>
          <w:b/>
        </w:rPr>
        <w:t xml:space="preserve">Componente 2 — AI de Diagnóstico por Imágenes:</w:t>
      </w:r>
      <w:r>
        <w:t xml:space="preserve"> </w:t>
      </w:r>
      <w:r>
        <w:t xml:space="preserve">- Módulos de radiología (tórax, óseo), dermatología (lesiones de piel vía smartphone), oftalmología (retinopatía diabética), cardiología (ECG)</w:t>
      </w:r>
      <w:r>
        <w:t xml:space="preserve"> </w:t>
      </w:r>
      <w:r>
        <w:t xml:space="preserve">- Integrado a la HCEN: el médico del CAPS toma la imagen, la AI la analiza en segundos, si hay sospecha genera alerta y derivación</w:t>
      </w:r>
      <w:r>
        <w:t xml:space="preserve"> </w:t>
      </w:r>
      <w:r>
        <w:t xml:space="preserve">- Priorización: las comunidades más lejanas primero</w:t>
      </w:r>
    </w:p>
    <w:p>
      <w:pPr>
        <w:pStyle w:val="BodyText"/>
      </w:pPr>
      <w:r>
        <w:rPr>
          <w:b/>
        </w:rPr>
        <w:t xml:space="preserve">Componente 3 — AI de Vigilancia Epidemiológica:</w:t>
      </w:r>
      <w:r>
        <w:t xml:space="preserve"> </w:t>
      </w:r>
      <w:r>
        <w:t xml:space="preserve">- Análisis en tiempo real de datos de la HCEN para detectar brotes (dengue, hantavirus, TB)</w:t>
      </w:r>
      <w:r>
        <w:t xml:space="preserve"> </w:t>
      </w:r>
      <w:r>
        <w:t xml:space="preserve">- Predicción de vectores (mapas de riesgo de Aedes aegypti basados en clima + casos)</w:t>
      </w:r>
      <w:r>
        <w:t xml:space="preserve"> </w:t>
      </w:r>
      <w:r>
        <w:t xml:space="preserve">- Alertas tempranas a equipos territoriales</w:t>
      </w:r>
      <w:r>
        <w:t xml:space="preserve"> </w:t>
      </w:r>
      <w:r>
        <w:t xml:space="preserve">- Monitoreo de resistencia antimicrobiana</w:t>
      </w:r>
    </w:p>
    <w:p>
      <w:pPr>
        <w:pStyle w:val="BodyText"/>
      </w:pPr>
      <w:r>
        <w:rPr>
          <w:b/>
        </w:rPr>
        <w:t xml:space="preserve">Componente 4 — AI para Salud Mental:</w:t>
      </w:r>
      <w:r>
        <w:t xml:space="preserve"> </w:t>
      </w:r>
      <w:r>
        <w:t xml:space="preserve">- Herramientas digitales de tamizaje (apps de autoevaluación en castellano)</w:t>
      </w:r>
      <w:r>
        <w:t xml:space="preserve"> </w:t>
      </w:r>
      <w:r>
        <w:t xml:space="preserve">- Chatbot de acompañamiento terapéutico para lista de espera (no reemplaza al psicólogo, acompaña mientras se espera turno)</w:t>
      </w:r>
      <w:r>
        <w:t xml:space="preserve"> </w:t>
      </w:r>
      <w:r>
        <w:t xml:space="preserve">- Detección de riesgo suicida en redes de atención primaria</w:t>
      </w:r>
      <w:r>
        <w:t xml:space="preserve"> </w:t>
      </w:r>
      <w:r>
        <w:t xml:space="preserve">- Privacidad estricta y supervisión profesional</w:t>
      </w:r>
    </w:p>
    <w:p>
      <w:pPr>
        <w:pStyle w:val="BodyText"/>
      </w:pPr>
      <w:r>
        <w:rPr>
          <w:b/>
        </w:rPr>
        <w:t xml:space="preserve">Meta:</w:t>
      </w:r>
      <w:r>
        <w:t xml:space="preserve"> </w:t>
      </w:r>
      <w:r>
        <w:t xml:space="preserve">HCEN operativa para</w:t>
      </w:r>
      <w:r>
        <w:t xml:space="preserve"> </w:t>
      </w:r>
      <w:r>
        <w:rPr>
          <w:b/>
        </w:rPr>
        <w:t xml:space="preserve">100% de la población</w:t>
      </w:r>
      <w:r>
        <w:t xml:space="preserve"> </w:t>
      </w:r>
      <w:r>
        <w:t xml:space="preserve">en 5 años. AI diagnóstica disponible en</w:t>
      </w:r>
      <w:r>
        <w:t xml:space="preserve"> </w:t>
      </w:r>
      <w:r>
        <w:rPr>
          <w:b/>
        </w:rPr>
        <w:t xml:space="preserve">todos los CAPS y hospitales públicos</w:t>
      </w:r>
      <w:r>
        <w:t xml:space="preserve">.</w:t>
      </w:r>
    </w:p>
    <w:p>
      <w:pPr>
        <w:pStyle w:val="Heading3"/>
      </w:pPr>
      <w:bookmarkStart w:id="36" w:name="costeo-1"/>
      <w:r>
        <w:t xml:space="preserve">Costeo</w:t>
      </w:r>
      <w:bookmarkEnd w:id="36"/>
    </w:p>
    <w:tbl>
      <w:tblPr>
        <w:tblStyle w:val="Table"/>
        <w:tblW w:type="pct" w:w="5000.0"/>
        <w:tblLook w:firstRow="1"/>
      </w:tblPr>
      <w:tblGrid>
        <w:gridCol w:w="4658"/>
        <w:gridCol w:w="3261"/>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Monto</w:t>
            </w:r>
          </w:p>
        </w:tc>
      </w:tr>
      <w:tr>
        <w:tc>
          <w:p>
            <w:pPr>
              <w:pStyle w:val="Compact"/>
              <w:jc w:val="left"/>
            </w:pPr>
            <w:r>
              <w:t xml:space="preserve">Desarrollo HCEN (plataforma + integración + migración de datos)</w:t>
            </w:r>
          </w:p>
        </w:tc>
        <w:tc>
          <w:p>
            <w:pPr>
              <w:pStyle w:val="Compact"/>
              <w:jc w:val="left"/>
            </w:pPr>
            <w:r>
              <w:t xml:space="preserve">USD 120 millones</w:t>
            </w:r>
          </w:p>
        </w:tc>
      </w:tr>
      <w:tr>
        <w:tc>
          <w:p>
            <w:pPr>
              <w:pStyle w:val="Compact"/>
              <w:jc w:val="left"/>
            </w:pPr>
            <w:r>
              <w:t xml:space="preserve">Infraestructura de servidores (ARSAT)</w:t>
            </w:r>
          </w:p>
        </w:tc>
        <w:tc>
          <w:p>
            <w:pPr>
              <w:pStyle w:val="Compact"/>
              <w:jc w:val="left"/>
            </w:pPr>
            <w:r>
              <w:t xml:space="preserve">USD 40 millones</w:t>
            </w:r>
          </w:p>
        </w:tc>
      </w:tr>
      <w:tr>
        <w:tc>
          <w:p>
            <w:pPr>
              <w:pStyle w:val="Compact"/>
              <w:jc w:val="left"/>
            </w:pPr>
            <w:r>
              <w:t xml:space="preserve">Desarrollo/adaptación de modelos de AI diagnóstica</w:t>
            </w:r>
          </w:p>
        </w:tc>
        <w:tc>
          <w:p>
            <w:pPr>
              <w:pStyle w:val="Compact"/>
              <w:jc w:val="left"/>
            </w:pPr>
            <w:r>
              <w:t xml:space="preserve">USD 30 millones</w:t>
            </w:r>
          </w:p>
        </w:tc>
      </w:tr>
      <w:tr>
        <w:tc>
          <w:p>
            <w:pPr>
              <w:pStyle w:val="Compact"/>
              <w:jc w:val="left"/>
            </w:pPr>
            <w:r>
              <w:t xml:space="preserve">Equipamiento en CAPS y hospitales (tablets, cámaras dermatológicas, ECG portátiles)</w:t>
            </w:r>
          </w:p>
        </w:tc>
        <w:tc>
          <w:p>
            <w:pPr>
              <w:pStyle w:val="Compact"/>
              <w:jc w:val="left"/>
            </w:pPr>
            <w:r>
              <w:t xml:space="preserve">USD 80 millones</w:t>
            </w:r>
          </w:p>
        </w:tc>
      </w:tr>
      <w:tr>
        <w:tc>
          <w:p>
            <w:pPr>
              <w:pStyle w:val="Compact"/>
              <w:jc w:val="left"/>
            </w:pPr>
            <w:r>
              <w:t xml:space="preserve">Capacitación del personal de salud (uso de HCEN + AI)</w:t>
            </w:r>
          </w:p>
        </w:tc>
        <w:tc>
          <w:p>
            <w:pPr>
              <w:pStyle w:val="Compact"/>
              <w:jc w:val="left"/>
            </w:pPr>
            <w:r>
              <w:t xml:space="preserve">USD 25 millones</w:t>
            </w:r>
          </w:p>
        </w:tc>
      </w:tr>
      <w:tr>
        <w:tc>
          <w:p>
            <w:pPr>
              <w:pStyle w:val="Compact"/>
              <w:jc w:val="left"/>
            </w:pPr>
            <w:r>
              <w:t xml:space="preserve">Componente de salud mental digital</w:t>
            </w:r>
          </w:p>
        </w:tc>
        <w:tc>
          <w:p>
            <w:pPr>
              <w:pStyle w:val="Compact"/>
              <w:jc w:val="left"/>
            </w:pPr>
            <w:r>
              <w:t xml:space="preserve">USD 15 millones</w:t>
            </w:r>
          </w:p>
        </w:tc>
      </w:tr>
      <w:tr>
        <w:tc>
          <w:p>
            <w:pPr>
              <w:pStyle w:val="Compact"/>
              <w:jc w:val="left"/>
            </w:pPr>
            <w:r>
              <w:t xml:space="preserve">Sistema de vigilancia epidemiológica con AI</w:t>
            </w:r>
          </w:p>
        </w:tc>
        <w:tc>
          <w:p>
            <w:pPr>
              <w:pStyle w:val="Compact"/>
              <w:jc w:val="left"/>
            </w:pPr>
            <w:r>
              <w:t xml:space="preserve">USD 20 millones</w:t>
            </w:r>
          </w:p>
        </w:tc>
      </w:tr>
      <w:tr>
        <w:tc>
          <w:p>
            <w:pPr>
              <w:pStyle w:val="Compact"/>
              <w:jc w:val="left"/>
            </w:pPr>
            <w:r>
              <w:t xml:space="preserve">Operación y mantenimiento (5 años)</w:t>
            </w:r>
          </w:p>
        </w:tc>
        <w:tc>
          <w:p>
            <w:pPr>
              <w:pStyle w:val="Compact"/>
              <w:jc w:val="left"/>
            </w:pPr>
            <w:r>
              <w:t xml:space="preserve">USD 100 millones</w:t>
            </w:r>
          </w:p>
        </w:tc>
      </w:tr>
      <w:tr>
        <w:tc>
          <w:p>
            <w:pPr>
              <w:pStyle w:val="Compact"/>
              <w:jc w:val="left"/>
            </w:pPr>
            <w:r>
              <w:t xml:space="preserve">Ciberseguridad y protección de datos</w:t>
            </w:r>
          </w:p>
        </w:tc>
        <w:tc>
          <w:p>
            <w:pPr>
              <w:pStyle w:val="Compact"/>
              <w:jc w:val="left"/>
            </w:pPr>
            <w:r>
              <w:t xml:space="preserve">USD 30 millones</w:t>
            </w:r>
          </w:p>
        </w:tc>
      </w:tr>
      <w:tr>
        <w:tc>
          <w:p>
            <w:pPr>
              <w:pStyle w:val="Compact"/>
              <w:jc w:val="left"/>
            </w:pPr>
            <w:r>
              <w:rPr>
                <w:b/>
              </w:rPr>
              <w:t xml:space="preserve">Total</w:t>
            </w:r>
          </w:p>
        </w:tc>
        <w:tc>
          <w:p>
            <w:pPr>
              <w:pStyle w:val="Compact"/>
              <w:jc w:val="left"/>
            </w:pPr>
            <w:r>
              <w:rPr>
                <w:b/>
              </w:rPr>
              <w:t xml:space="preserve">USD 460 millones (5 años)</w:t>
            </w:r>
          </w:p>
        </w:tc>
      </w:tr>
    </w:tbl>
    <w:p>
      <w:pPr>
        <w:pStyle w:val="BodyText"/>
      </w:pPr>
      <w:r>
        <w:rPr>
          <w:i/>
        </w:rPr>
        <w:t xml:space="preserve">Nota: Estonia gastó ~USD 50 millones en digitalizar su sistema de salud para 1,3 millones de habitantes. Escalado a Argentina (46 millones) con ajustes de complejidad, USD 460 millones es razonable.</w:t>
      </w:r>
    </w:p>
    <w:p>
      <w:pPr>
        <w:pStyle w:val="Heading3"/>
      </w:pPr>
      <w:bookmarkStart w:id="37" w:name="financiamiento-1"/>
      <w:r>
        <w:t xml:space="preserve">Financiamiento</w:t>
      </w:r>
      <w:bookmarkEnd w:id="37"/>
    </w:p>
    <w:p>
      <w:pPr>
        <w:numPr>
          <w:ilvl w:val="0"/>
          <w:numId w:val="1003"/>
        </w:numPr>
        <w:pStyle w:val="Compact"/>
      </w:pPr>
      <w:r>
        <w:rPr>
          <w:b/>
        </w:rPr>
        <w:t xml:space="preserve">35% — BID (componente gobierno digital):</w:t>
      </w:r>
      <w:r>
        <w:t xml:space="preserve"> </w:t>
      </w:r>
      <w:r>
        <w:t xml:space="preserve">USD 161 millones</w:t>
      </w:r>
    </w:p>
    <w:p>
      <w:pPr>
        <w:numPr>
          <w:ilvl w:val="0"/>
          <w:numId w:val="1003"/>
        </w:numPr>
        <w:pStyle w:val="Compact"/>
      </w:pPr>
      <w:r>
        <w:rPr>
          <w:b/>
        </w:rPr>
        <w:t xml:space="preserve">25% — Presupuesto nacional (Min. Salud + Innovación):</w:t>
      </w:r>
      <w:r>
        <w:t xml:space="preserve"> </w:t>
      </w:r>
      <w:r>
        <w:t xml:space="preserve">USD 115 millones</w:t>
      </w:r>
    </w:p>
    <w:p>
      <w:pPr>
        <w:numPr>
          <w:ilvl w:val="0"/>
          <w:numId w:val="1003"/>
        </w:numPr>
        <w:pStyle w:val="Compact"/>
      </w:pPr>
      <w:r>
        <w:rPr>
          <w:b/>
        </w:rPr>
        <w:t xml:space="preserve">20% — Banco Mundial (Digital Development):</w:t>
      </w:r>
      <w:r>
        <w:t xml:space="preserve"> </w:t>
      </w:r>
      <w:r>
        <w:t xml:space="preserve">USD 92 millones</w:t>
      </w:r>
    </w:p>
    <w:p>
      <w:pPr>
        <w:numPr>
          <w:ilvl w:val="0"/>
          <w:numId w:val="1003"/>
        </w:numPr>
        <w:pStyle w:val="Compact"/>
      </w:pPr>
      <w:r>
        <w:rPr>
          <w:b/>
        </w:rPr>
        <w:t xml:space="preserve">10% — ARSAT y MinCyT (infraestructura existente):</w:t>
      </w:r>
      <w:r>
        <w:t xml:space="preserve"> </w:t>
      </w:r>
      <w:r>
        <w:t xml:space="preserve">USD 46 millones (en especie: servidores, conectividad)</w:t>
      </w:r>
    </w:p>
    <w:p>
      <w:pPr>
        <w:numPr>
          <w:ilvl w:val="0"/>
          <w:numId w:val="1003"/>
        </w:numPr>
        <w:pStyle w:val="Compact"/>
      </w:pPr>
      <w:r>
        <w:rPr>
          <w:b/>
        </w:rPr>
        <w:t xml:space="preserve">10% — Cooperación técnica (Estonia, Israel, OPS):</w:t>
      </w:r>
      <w:r>
        <w:t xml:space="preserve"> </w:t>
      </w:r>
      <w:r>
        <w:t xml:space="preserve">USD 46 millones</w:t>
      </w:r>
    </w:p>
    <w:p>
      <w:pPr>
        <w:pStyle w:val="Heading3"/>
      </w:pPr>
      <w:bookmarkStart w:id="38" w:name="diálogo-con-el-marco-teórico-1"/>
      <w:r>
        <w:t xml:space="preserve">Diálogo con el marco teórico</w:t>
      </w:r>
      <w:bookmarkEnd w:id="38"/>
    </w:p>
    <w:p>
      <w:pPr>
        <w:pStyle w:val="FirstParagraph"/>
      </w:pPr>
      <w:r>
        <w:t xml:space="preserve">Esta política conecta con la idea de</w:t>
      </w:r>
      <w:r>
        <w:t xml:space="preserve"> </w:t>
      </w:r>
      <w:r>
        <w:rPr>
          <w:b/>
        </w:rPr>
        <w:t xml:space="preserve">commons digitales</w:t>
      </w:r>
      <w:r>
        <w:t xml:space="preserve"> </w:t>
      </w:r>
      <w:r>
        <w:t xml:space="preserve">de Michel Bauwens: la HCEN es un bien común digital. Los datos de salud de la población, anonimizados, son un recurso para la investigación y la planificación que beneficia a todos.</w:t>
      </w:r>
    </w:p>
    <w:p>
      <w:pPr>
        <w:pStyle w:val="BodyText"/>
      </w:pPr>
      <w:r>
        <w:t xml:space="preserve">Se vincula con</w:t>
      </w:r>
      <w:r>
        <w:t xml:space="preserve"> </w:t>
      </w:r>
      <w:r>
        <w:rPr>
          <w:b/>
        </w:rPr>
        <w:t xml:space="preserve">Dani Rodrik</w:t>
      </w:r>
      <w:r>
        <w:t xml:space="preserve"> </w:t>
      </w:r>
      <w:r>
        <w:t xml:space="preserve">y la política industrial inteligente: Argentina tiene ARSAT, CONICET, facultades de computación de primer nivel. Desarrollar AI de salud localmente (no comprar paquetes cerrados de Silicon Valley) es política industrial aplicada al bienestar.</w:t>
      </w:r>
    </w:p>
    <w:p>
      <w:pPr>
        <w:pStyle w:val="BodyText"/>
      </w:pPr>
      <w:r>
        <w:t xml:space="preserve">Dialoga con la</w:t>
      </w:r>
      <w:r>
        <w:t xml:space="preserve"> </w:t>
      </w:r>
      <w:r>
        <w:rPr>
          <w:b/>
        </w:rPr>
        <w:t xml:space="preserve">economía de la dona</w:t>
      </w:r>
      <w:r>
        <w:t xml:space="preserve">: la tecnología no es un fin sino un medio para garantizar el piso social de salud. La AI no reemplaza al médico — hace que el médico de Formosa tenga la misma capacidad diagnóstica que el de Buenos Aires. Eso es igualdad concreta.</w:t>
      </w:r>
    </w:p>
    <w:p>
      <w:pPr>
        <w:pStyle w:val="BodyText"/>
      </w:pPr>
      <w:r>
        <w:t xml:space="preserve">Y tiene una dimensión de</w:t>
      </w:r>
      <w:r>
        <w:t xml:space="preserve"> </w:t>
      </w:r>
      <w:r>
        <w:rPr>
          <w:b/>
        </w:rPr>
        <w:t xml:space="preserve">justicia</w:t>
      </w:r>
      <w:r>
        <w:t xml:space="preserve">: que un tumor de piel en la espalda de un trabajador rural en Santiago del Estero se detecte con un smartphone y una AI, en vez de esperar 6 meses a que consiga turno con un dermatólogo en la capital — eso salva vidas.</w:t>
      </w:r>
    </w:p>
    <w:p>
      <w:r>
        <w:pict>
          <v:rect style="width:0;height:1.5pt" o:hralign="center" o:hrstd="t" o:hr="t"/>
        </w:pict>
      </w:r>
    </w:p>
    <w:p>
      <w:pPr>
        <w:pStyle w:val="Heading2"/>
      </w:pPr>
      <w:bookmarkStart w:id="39" w:name="X2005854ac11db70071ce5a5dd28173326197336"/>
      <w:r>
        <w:t xml:space="preserve">Política 3: Programa Nacional de Cuidado Integral para Personas con Discapacidad y Neurodivergencia</w:t>
      </w:r>
      <w:bookmarkEnd w:id="39"/>
    </w:p>
    <w:p>
      <w:pPr>
        <w:pStyle w:val="FirstParagraph"/>
      </w:pPr>
      <w:r>
        <w:rPr>
          <w:i/>
        </w:rPr>
        <w:t xml:space="preserve">Inspirada en los modelos de vida independiente (Suecia), tecnologías asistivas con AI, y el enfoque de derechos de la Convención de la ONU</w:t>
      </w:r>
    </w:p>
    <w:p>
      <w:pPr>
        <w:pStyle w:val="Heading3"/>
      </w:pPr>
      <w:bookmarkStart w:id="40" w:name="qué-es-2"/>
      <w:r>
        <w:t xml:space="preserve">Qué es</w:t>
      </w:r>
      <w:bookmarkEnd w:id="40"/>
    </w:p>
    <w:p>
      <w:pPr>
        <w:pStyle w:val="FirstParagraph"/>
      </w:pPr>
      <w:r>
        <w:t xml:space="preserve">Un programa que transforma el enfoque de la discapacidad en Argentina: de un modelo médico-asistencialista (la persona con discapacidad como</w:t>
      </w:r>
      <w:r>
        <w:t xml:space="preserve"> </w:t>
      </w:r>
      <w:r>
        <w:t xml:space="preserve">“</w:t>
      </w:r>
      <w:r>
        <w:t xml:space="preserve">paciente</w:t>
      </w:r>
      <w:r>
        <w:t xml:space="preserve">”</w:t>
      </w:r>
      <w:r>
        <w:t xml:space="preserve">) a un modelo de derechos y capacidades (la persona como ciudadano pleno que necesita apoyos específicos para participar). Incluye:</w:t>
      </w:r>
    </w:p>
    <w:p>
      <w:pPr>
        <w:numPr>
          <w:ilvl w:val="0"/>
          <w:numId w:val="1004"/>
        </w:numPr>
        <w:pStyle w:val="Compact"/>
      </w:pPr>
      <w:r>
        <w:t xml:space="preserve">Centros de Vida Independiente en cada ciudad de más de 50.000 habitantes</w:t>
      </w:r>
    </w:p>
    <w:p>
      <w:pPr>
        <w:numPr>
          <w:ilvl w:val="0"/>
          <w:numId w:val="1004"/>
        </w:numPr>
        <w:pStyle w:val="Compact"/>
      </w:pPr>
      <w:r>
        <w:t xml:space="preserve">Diagnóstico temprano y acompañamiento del autismo</w:t>
      </w:r>
    </w:p>
    <w:p>
      <w:pPr>
        <w:numPr>
          <w:ilvl w:val="0"/>
          <w:numId w:val="1004"/>
        </w:numPr>
        <w:pStyle w:val="Compact"/>
      </w:pPr>
      <w:r>
        <w:t xml:space="preserve">Tecnologías asistivas con AI (prótesis inteligentes, comunicadores, lectores de pantalla)</w:t>
      </w:r>
    </w:p>
    <w:p>
      <w:pPr>
        <w:numPr>
          <w:ilvl w:val="0"/>
          <w:numId w:val="1004"/>
        </w:numPr>
        <w:pStyle w:val="Compact"/>
      </w:pPr>
      <w:r>
        <w:t xml:space="preserve">Rehabilitación comunitaria (no solo en hospitales)</w:t>
      </w:r>
    </w:p>
    <w:p>
      <w:pPr>
        <w:numPr>
          <w:ilvl w:val="0"/>
          <w:numId w:val="1004"/>
        </w:numPr>
        <w:pStyle w:val="Compact"/>
      </w:pPr>
      <w:r>
        <w:t xml:space="preserve">Formación laboral adaptada</w:t>
      </w:r>
    </w:p>
    <w:p>
      <w:pPr>
        <w:numPr>
          <w:ilvl w:val="0"/>
          <w:numId w:val="1004"/>
        </w:numPr>
        <w:pStyle w:val="Compact"/>
      </w:pPr>
      <w:r>
        <w:t xml:space="preserve">Asistentes personales financiados por el Estado</w:t>
      </w:r>
    </w:p>
    <w:p>
      <w:pPr>
        <w:pStyle w:val="Heading3"/>
      </w:pPr>
      <w:bookmarkStart w:id="41" w:name="por-qué-esta-política-2"/>
      <w:r>
        <w:t xml:space="preserve">Por qué esta política</w:t>
      </w:r>
      <w:bookmarkEnd w:id="41"/>
    </w:p>
    <w:p>
      <w:pPr>
        <w:pStyle w:val="FirstParagraph"/>
      </w:pPr>
      <w:r>
        <w:t xml:space="preserve">Suecia tiene el modelo de asistencia personal más desarrollado del mundo: cualquier persona con discapacidad significativa recibe horas de asistente personal financiadas por el Estado. El asistente no decide por la persona — la persona decide y el asistente ejecuta. Resultado: personas con discapacidades severas viven en sus casas, trabajan, tienen pareja, crían hijos.</w:t>
      </w:r>
    </w:p>
    <w:p>
      <w:pPr>
        <w:pStyle w:val="BodyText"/>
      </w:pPr>
      <w:r>
        <w:t xml:space="preserve">En tecnología asistiva, los avances con AI son extraordinarios: Be My Eyes + GPT-4 permite a personas ciegas</w:t>
      </w:r>
      <w:r>
        <w:t xml:space="preserve"> </w:t>
      </w:r>
      <w:r>
        <w:t xml:space="preserve">“</w:t>
      </w:r>
      <w:r>
        <w:t xml:space="preserve">ver</w:t>
      </w:r>
      <w:r>
        <w:t xml:space="preserve">”</w:t>
      </w:r>
      <w:r>
        <w:t xml:space="preserve"> </w:t>
      </w:r>
      <w:r>
        <w:t xml:space="preserve">el mundo a través de descripción por AI. Synchron y otros desarrollan interfaces cerebro-computadora que permiten a personas con parálisis controlar dispositivos con el pensamiento. Los comunicadores con AI permiten a personas no verbales (incluidos muchos con autismo) expresarse con fluidez.</w:t>
      </w:r>
    </w:p>
    <w:p>
      <w:pPr>
        <w:pStyle w:val="BodyText"/>
      </w:pPr>
      <w:r>
        <w:t xml:space="preserve">Argentina tiene la Ley 22.431 de discapacidad y la Ley 27.043 de autismo (TEA), pero la implementación es débil. Las prestaciones de obras sociales son insuficientes. Las listas de espera para diagnóstico de TEA superan los 12 meses fuera de Buenos Aires. Las tecnologías asistivas son carísimas e inaccesibles.</w:t>
      </w:r>
    </w:p>
    <w:p>
      <w:pPr>
        <w:pStyle w:val="Heading3"/>
      </w:pPr>
      <w:bookmarkStart w:id="42" w:name="diseño-para-argentina-2"/>
      <w:r>
        <w:t xml:space="preserve">Diseño para Argentina</w:t>
      </w:r>
      <w:bookmarkEnd w:id="42"/>
    </w:p>
    <w:p>
      <w:pPr>
        <w:pStyle w:val="FirstParagraph"/>
      </w:pPr>
      <w:r>
        <w:rPr>
          <w:b/>
        </w:rPr>
        <w:t xml:space="preserve">Componente 1 — Diagnóstico Temprano y Acompañamiento del TEA:</w:t>
      </w:r>
      <w:r>
        <w:t xml:space="preserve"> </w:t>
      </w:r>
      <w:r>
        <w:t xml:space="preserve">- Tamizaje universal a los 18 y 24 meses en todos los controles pediátricos (M-CHAT integrado a la HCEN de Política 2)</w:t>
      </w:r>
      <w:r>
        <w:t xml:space="preserve"> </w:t>
      </w:r>
      <w:r>
        <w:t xml:space="preserve">- Equipos de diagnóstico especializados en cada provincia (hoy concentrados en CABA)</w:t>
      </w:r>
      <w:r>
        <w:t xml:space="preserve"> </w:t>
      </w:r>
      <w:r>
        <w:t xml:space="preserve">- Intervención temprana inmediata (no esperar diagnóstico definitivo para empezar)</w:t>
      </w:r>
      <w:r>
        <w:t xml:space="preserve"> </w:t>
      </w:r>
      <w:r>
        <w:t xml:space="preserve">- Acompañantes terapéuticos formados y financiados</w:t>
      </w:r>
      <w:r>
        <w:t xml:space="preserve"> </w:t>
      </w:r>
      <w:r>
        <w:t xml:space="preserve">- Meta: diagnóstico antes de los 3 años para el 80% de los casos</w:t>
      </w:r>
    </w:p>
    <w:p>
      <w:pPr>
        <w:pStyle w:val="BodyText"/>
      </w:pPr>
      <w:r>
        <w:rPr>
          <w:b/>
        </w:rPr>
        <w:t xml:space="preserve">Componente 2 — Centros de Vida Independiente (CVI):</w:t>
      </w:r>
      <w:r>
        <w:t xml:space="preserve"> </w:t>
      </w:r>
      <w:r>
        <w:t xml:space="preserve">- 50 CVI en ciudades de más de 50.000 habitantes</w:t>
      </w:r>
      <w:r>
        <w:t xml:space="preserve"> </w:t>
      </w:r>
      <w:r>
        <w:t xml:space="preserve">- Servicios: rehabilitación, formación laboral, asesoría legal, grupos de pares, tecnología asistiva, asistentes personales</w:t>
      </w:r>
      <w:r>
        <w:t xml:space="preserve"> </w:t>
      </w:r>
      <w:r>
        <w:t xml:space="preserve">- Gestionados con participación de las propias personas con discapacidad (principio:</w:t>
      </w:r>
      <w:r>
        <w:t xml:space="preserve"> </w:t>
      </w:r>
      <w:r>
        <w:t xml:space="preserve">“</w:t>
      </w:r>
      <w:r>
        <w:t xml:space="preserve">nada sobre nosotros sin nosotros</w:t>
      </w:r>
      <w:r>
        <w:t xml:space="preserve">”</w:t>
      </w:r>
      <w:r>
        <w:t xml:space="preserve">)</w:t>
      </w:r>
    </w:p>
    <w:p>
      <w:pPr>
        <w:pStyle w:val="BodyText"/>
      </w:pPr>
      <w:r>
        <w:rPr>
          <w:b/>
        </w:rPr>
        <w:t xml:space="preserve">Componente 3 — Banco Nacional de Tecnología Asistiva:</w:t>
      </w:r>
      <w:r>
        <w:t xml:space="preserve"> </w:t>
      </w:r>
      <w:r>
        <w:t xml:space="preserve">- Producción local (vía CONICET, UTN, universidades) de tecnologías asistivas de bajo costo</w:t>
      </w:r>
      <w:r>
        <w:t xml:space="preserve"> </w:t>
      </w:r>
      <w:r>
        <w:t xml:space="preserve">- Sillas de ruedas adaptadas, comunicadores con AI, prótesis impresas en 3D</w:t>
      </w:r>
      <w:r>
        <w:t xml:space="preserve"> </w:t>
      </w:r>
      <w:r>
        <w:t xml:space="preserve">- Préstamo gratuito a toda persona que lo necesite</w:t>
      </w:r>
      <w:r>
        <w:t xml:space="preserve"> </w:t>
      </w:r>
      <w:r>
        <w:t xml:space="preserve">- Actualización tecnológica cada 3 años</w:t>
      </w:r>
    </w:p>
    <w:p>
      <w:pPr>
        <w:pStyle w:val="BodyText"/>
      </w:pPr>
      <w:r>
        <w:rPr>
          <w:b/>
        </w:rPr>
        <w:t xml:space="preserve">Componente 4 — Asistentes Personales:</w:t>
      </w:r>
      <w:r>
        <w:t xml:space="preserve"> </w:t>
      </w:r>
      <w:r>
        <w:t xml:space="preserve">- Programa nacional de asistentes personales para personas con discapacidad severa</w:t>
      </w:r>
      <w:r>
        <w:t xml:space="preserve"> </w:t>
      </w:r>
      <w:r>
        <w:t xml:space="preserve">- Formación certificada de 6 meses</w:t>
      </w:r>
      <w:r>
        <w:t xml:space="preserve"> </w:t>
      </w:r>
      <w:r>
        <w:t xml:space="preserve">- Salario financiado por el Estado (crea empleo para 20.000+ personas)</w:t>
      </w:r>
      <w:r>
        <w:t xml:space="preserve"> </w:t>
      </w:r>
      <w:r>
        <w:t xml:space="preserve">- La persona con discapacidad elige y dirige a su asistente</w:t>
      </w:r>
    </w:p>
    <w:p>
      <w:pPr>
        <w:pStyle w:val="BodyText"/>
      </w:pPr>
      <w:r>
        <w:rPr>
          <w:b/>
        </w:rPr>
        <w:t xml:space="preserve">Meta:</w:t>
      </w:r>
      <w:r>
        <w:t xml:space="preserve"> </w:t>
      </w:r>
      <w:r>
        <w:t xml:space="preserve">500.000 personas con discapacidad con acceso a servicios de calidad. 100% de los niños con sospecha de TEA diagnosticados antes de los 3 años.</w:t>
      </w:r>
    </w:p>
    <w:p>
      <w:pPr>
        <w:pStyle w:val="Heading3"/>
      </w:pPr>
      <w:bookmarkStart w:id="43" w:name="costeo-2"/>
      <w:r>
        <w:t xml:space="preserve">Costeo</w:t>
      </w:r>
      <w:bookmarkEnd w:id="43"/>
    </w:p>
    <w:tbl>
      <w:tblPr>
        <w:tblStyle w:val="Table"/>
        <w:tblW w:type="pct" w:w="5000.0"/>
        <w:tblLook w:firstRow="1"/>
      </w:tblPr>
      <w:tblGrid>
        <w:gridCol w:w="1931"/>
        <w:gridCol w:w="2897"/>
        <w:gridCol w:w="3090"/>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Costo unitario</w:t>
            </w:r>
          </w:p>
        </w:tc>
        <w:tc>
          <w:tcPr>
            <w:tcBorders>
              <w:bottom w:val="single"/>
            </w:tcBorders>
            <w:vAlign w:val="bottom"/>
          </w:tcPr>
          <w:p>
            <w:pPr>
              <w:pStyle w:val="Compact"/>
              <w:jc w:val="left"/>
            </w:pPr>
            <w:r>
              <w:t xml:space="preserve">Total (5 años)</w:t>
            </w:r>
          </w:p>
        </w:tc>
      </w:tr>
      <w:tr>
        <w:tc>
          <w:p>
            <w:pPr>
              <w:pStyle w:val="Compact"/>
              <w:jc w:val="left"/>
            </w:pPr>
            <w:r>
              <w:t xml:space="preserve">Equipos provinciales de diagnóstico TEA (24)</w:t>
            </w:r>
          </w:p>
        </w:tc>
        <w:tc>
          <w:p>
            <w:pPr>
              <w:pStyle w:val="Compact"/>
              <w:jc w:val="left"/>
            </w:pPr>
            <w:r>
              <w:t xml:space="preserve">USD 500.000/equipo/año</w:t>
            </w:r>
          </w:p>
        </w:tc>
        <w:tc>
          <w:p>
            <w:pPr>
              <w:pStyle w:val="Compact"/>
              <w:jc w:val="left"/>
            </w:pPr>
            <w:r>
              <w:t xml:space="preserve">USD 60 millones</w:t>
            </w:r>
          </w:p>
        </w:tc>
      </w:tr>
      <w:tr>
        <w:tc>
          <w:p>
            <w:pPr>
              <w:pStyle w:val="Compact"/>
              <w:jc w:val="left"/>
            </w:pPr>
            <w:r>
              <w:t xml:space="preserve">Intervención temprana TEA (terapeutas)</w:t>
            </w:r>
          </w:p>
        </w:tc>
        <w:tc>
          <w:p>
            <w:pPr>
              <w:pStyle w:val="Compact"/>
              <w:jc w:val="left"/>
            </w:pPr>
            <w:r>
              <w:t xml:space="preserve">—</w:t>
            </w:r>
          </w:p>
        </w:tc>
        <w:tc>
          <w:p>
            <w:pPr>
              <w:pStyle w:val="Compact"/>
              <w:jc w:val="left"/>
            </w:pPr>
            <w:r>
              <w:t xml:space="preserve">USD 150 millones</w:t>
            </w:r>
          </w:p>
        </w:tc>
      </w:tr>
      <w:tr>
        <w:tc>
          <w:p>
            <w:pPr>
              <w:pStyle w:val="Compact"/>
              <w:jc w:val="left"/>
            </w:pPr>
            <w:r>
              <w:t xml:space="preserve">50 Centros de Vida Independiente</w:t>
            </w:r>
          </w:p>
        </w:tc>
        <w:tc>
          <w:p>
            <w:pPr>
              <w:pStyle w:val="Compact"/>
              <w:jc w:val="left"/>
            </w:pPr>
            <w:r>
              <w:t xml:space="preserve">USD 300.000/centro/año</w:t>
            </w:r>
          </w:p>
        </w:tc>
        <w:tc>
          <w:p>
            <w:pPr>
              <w:pStyle w:val="Compact"/>
              <w:jc w:val="left"/>
            </w:pPr>
            <w:r>
              <w:t xml:space="preserve">USD 75 millones</w:t>
            </w:r>
          </w:p>
        </w:tc>
      </w:tr>
      <w:tr>
        <w:tc>
          <w:p>
            <w:pPr>
              <w:pStyle w:val="Compact"/>
              <w:jc w:val="left"/>
            </w:pPr>
            <w:r>
              <w:t xml:space="preserve">Banco de Tecnología Asistiva (desarrollo + distribución)</w:t>
            </w:r>
          </w:p>
        </w:tc>
        <w:tc>
          <w:p>
            <w:pPr>
              <w:pStyle w:val="Compact"/>
              <w:jc w:val="left"/>
            </w:pPr>
            <w:r>
              <w:t xml:space="preserve">—</w:t>
            </w:r>
          </w:p>
        </w:tc>
        <w:tc>
          <w:p>
            <w:pPr>
              <w:pStyle w:val="Compact"/>
              <w:jc w:val="left"/>
            </w:pPr>
            <w:r>
              <w:t xml:space="preserve">USD 80 millones</w:t>
            </w:r>
          </w:p>
        </w:tc>
      </w:tr>
      <w:tr>
        <w:tc>
          <w:p>
            <w:pPr>
              <w:pStyle w:val="Compact"/>
              <w:jc w:val="left"/>
            </w:pPr>
            <w:r>
              <w:t xml:space="preserve">Programa de Asistentes Personales (10.000 asistentes)</w:t>
            </w:r>
          </w:p>
        </w:tc>
        <w:tc>
          <w:p>
            <w:pPr>
              <w:pStyle w:val="Compact"/>
              <w:jc w:val="left"/>
            </w:pPr>
            <w:r>
              <w:t xml:space="preserve">USD 8.000/asistente/año</w:t>
            </w:r>
          </w:p>
        </w:tc>
        <w:tc>
          <w:p>
            <w:pPr>
              <w:pStyle w:val="Compact"/>
              <w:jc w:val="left"/>
            </w:pPr>
            <w:r>
              <w:t xml:space="preserve">USD 400 millones</w:t>
            </w:r>
          </w:p>
        </w:tc>
      </w:tr>
      <w:tr>
        <w:tc>
          <w:p>
            <w:pPr>
              <w:pStyle w:val="Compact"/>
              <w:jc w:val="left"/>
            </w:pPr>
            <w:r>
              <w:t xml:space="preserve">Formación de profesionales</w:t>
            </w:r>
          </w:p>
        </w:tc>
        <w:tc>
          <w:p>
            <w:pPr>
              <w:pStyle w:val="Compact"/>
              <w:jc w:val="left"/>
            </w:pPr>
            <w:r>
              <w:t xml:space="preserve">—</w:t>
            </w:r>
          </w:p>
        </w:tc>
        <w:tc>
          <w:p>
            <w:pPr>
              <w:pStyle w:val="Compact"/>
              <w:jc w:val="left"/>
            </w:pPr>
            <w:r>
              <w:t xml:space="preserve">USD 30 millones</w:t>
            </w:r>
          </w:p>
        </w:tc>
      </w:tr>
      <w:tr>
        <w:tc>
          <w:p>
            <w:pPr>
              <w:pStyle w:val="Compact"/>
              <w:jc w:val="left"/>
            </w:pPr>
            <w:r>
              <w:t xml:space="preserve">Adaptación de espacios públicos (accesibilidad)</w:t>
            </w:r>
          </w:p>
        </w:tc>
        <w:tc>
          <w:p>
            <w:pPr>
              <w:pStyle w:val="Compact"/>
              <w:jc w:val="left"/>
            </w:pPr>
            <w:r>
              <w:t xml:space="preserve">—</w:t>
            </w:r>
          </w:p>
        </w:tc>
        <w:tc>
          <w:p>
            <w:pPr>
              <w:pStyle w:val="Compact"/>
              <w:jc w:val="left"/>
            </w:pPr>
            <w:r>
              <w:t xml:space="preserve">USD 100 millones</w:t>
            </w:r>
          </w:p>
        </w:tc>
      </w:tr>
      <w:tr>
        <w:tc>
          <w:p>
            <w:pPr>
              <w:pStyle w:val="Compact"/>
              <w:jc w:val="left"/>
            </w:pPr>
            <w:r>
              <w:rPr>
                <w:b/>
              </w:rPr>
              <w:t xml:space="preserve">Total</w:t>
            </w:r>
          </w:p>
        </w:tc>
        <w:tc>
          <w:p/>
        </w:tc>
        <w:tc>
          <w:p>
            <w:pPr>
              <w:pStyle w:val="Compact"/>
              <w:jc w:val="left"/>
            </w:pPr>
            <w:r>
              <w:rPr>
                <w:b/>
              </w:rPr>
              <w:t xml:space="preserve">USD 895 millones (5 años)</w:t>
            </w:r>
          </w:p>
        </w:tc>
      </w:tr>
    </w:tbl>
    <w:p>
      <w:pPr>
        <w:pStyle w:val="Heading3"/>
      </w:pPr>
      <w:bookmarkStart w:id="44" w:name="financiamiento-2"/>
      <w:r>
        <w:t xml:space="preserve">Financiamiento</w:t>
      </w:r>
      <w:bookmarkEnd w:id="44"/>
    </w:p>
    <w:p>
      <w:pPr>
        <w:numPr>
          <w:ilvl w:val="0"/>
          <w:numId w:val="1005"/>
        </w:numPr>
        <w:pStyle w:val="Compact"/>
      </w:pPr>
      <w:r>
        <w:rPr>
          <w:b/>
        </w:rPr>
        <w:t xml:space="preserve">35% — Presupuesto nacional (reasignación de prestaciones actuales ineficientes):</w:t>
      </w:r>
      <w:r>
        <w:t xml:space="preserve"> </w:t>
      </w:r>
      <w:r>
        <w:t xml:space="preserve">USD 313 millones. Hoy se gasta mucho en prestaciones fragmentadas a través de obras sociales. Centralizar y optimizar libera fondos.</w:t>
      </w:r>
    </w:p>
    <w:p>
      <w:pPr>
        <w:numPr>
          <w:ilvl w:val="0"/>
          <w:numId w:val="1005"/>
        </w:numPr>
        <w:pStyle w:val="Compact"/>
      </w:pPr>
      <w:r>
        <w:rPr>
          <w:b/>
        </w:rPr>
        <w:t xml:space="preserve">25% — BID/Banco Mundial (componente inclusión):</w:t>
      </w:r>
      <w:r>
        <w:t xml:space="preserve"> </w:t>
      </w:r>
      <w:r>
        <w:t xml:space="preserve">USD 224 millones</w:t>
      </w:r>
    </w:p>
    <w:p>
      <w:pPr>
        <w:numPr>
          <w:ilvl w:val="0"/>
          <w:numId w:val="1005"/>
        </w:numPr>
        <w:pStyle w:val="Compact"/>
      </w:pPr>
      <w:r>
        <w:rPr>
          <w:b/>
        </w:rPr>
        <w:t xml:space="preserve">20% — Obras sociales y prepagas (obligación de cobertura):</w:t>
      </w:r>
      <w:r>
        <w:t xml:space="preserve"> </w:t>
      </w:r>
      <w:r>
        <w:t xml:space="preserve">USD 179 millones</w:t>
      </w:r>
    </w:p>
    <w:p>
      <w:pPr>
        <w:numPr>
          <w:ilvl w:val="0"/>
          <w:numId w:val="1005"/>
        </w:numPr>
        <w:pStyle w:val="Compact"/>
      </w:pPr>
      <w:r>
        <w:rPr>
          <w:b/>
        </w:rPr>
        <w:t xml:space="preserve">10% — Cooperación internacional (ONU, JICA, UE):</w:t>
      </w:r>
      <w:r>
        <w:t xml:space="preserve"> </w:t>
      </w:r>
      <w:r>
        <w:t xml:space="preserve">USD 89,5 millones</w:t>
      </w:r>
    </w:p>
    <w:p>
      <w:pPr>
        <w:numPr>
          <w:ilvl w:val="0"/>
          <w:numId w:val="1005"/>
        </w:numPr>
        <w:pStyle w:val="Compact"/>
      </w:pPr>
      <w:r>
        <w:rPr>
          <w:b/>
        </w:rPr>
        <w:t xml:space="preserve">10% — Producción local de tecnología (ahorro vs. importación):</w:t>
      </w:r>
      <w:r>
        <w:t xml:space="preserve"> </w:t>
      </w:r>
      <w:r>
        <w:t xml:space="preserve">USD 89,5 millones. Una silla de ruedas importada cuesta USD 3.000. Una producida en la UTN con CONICET puede costar USD 800.</w:t>
      </w:r>
    </w:p>
    <w:p>
      <w:pPr>
        <w:pStyle w:val="Heading3"/>
      </w:pPr>
      <w:bookmarkStart w:id="45" w:name="diálogo-con-el-marco-teórico-2"/>
      <w:r>
        <w:t xml:space="preserve">Diálogo con el marco teórico</w:t>
      </w:r>
      <w:bookmarkEnd w:id="45"/>
    </w:p>
    <w:p>
      <w:pPr>
        <w:pStyle w:val="FirstParagraph"/>
      </w:pPr>
      <w:r>
        <w:t xml:space="preserve">Esta política es la expresión más directa del concepto de</w:t>
      </w:r>
      <w:r>
        <w:t xml:space="preserve"> </w:t>
      </w:r>
      <w:r>
        <w:rPr>
          <w:b/>
        </w:rPr>
        <w:t xml:space="preserve">capacidades</w:t>
      </w:r>
      <w:r>
        <w:t xml:space="preserve"> </w:t>
      </w:r>
      <w:r>
        <w:t xml:space="preserve">de Amartya Sen (implícito en todo nuestro marco): la libertad real de una persona no se mide por su ingreso sino por lo que puede hacer y ser. Una persona en silla de ruedas con un asistente personal, un comunicador con AI y un trabajo adaptado tiene más libertad real que una persona sin discapacidad en un barrio sin servicios.</w:t>
      </w:r>
    </w:p>
    <w:p>
      <w:pPr>
        <w:pStyle w:val="BodyText"/>
      </w:pPr>
      <w:r>
        <w:t xml:space="preserve">Conecta con</w:t>
      </w:r>
      <w:r>
        <w:t xml:space="preserve"> </w:t>
      </w:r>
      <w:r>
        <w:rPr>
          <w:b/>
        </w:rPr>
        <w:t xml:space="preserve">Manfred Max-Neef</w:t>
      </w:r>
      <w:r>
        <w:t xml:space="preserve">: la necesidad de identidad, participación, libertad no desaparece porque alguien tenga una discapacidad. El modelo médico las ignora. El modelo de derechos las pone al centro.</w:t>
      </w:r>
    </w:p>
    <w:p>
      <w:pPr>
        <w:pStyle w:val="BodyText"/>
      </w:pPr>
      <w:r>
        <w:t xml:space="preserve">Dialoga con la</w:t>
      </w:r>
      <w:r>
        <w:t xml:space="preserve"> </w:t>
      </w:r>
      <w:r>
        <w:rPr>
          <w:b/>
        </w:rPr>
        <w:t xml:space="preserve">economía del bien común</w:t>
      </w:r>
      <w:r>
        <w:t xml:space="preserve"> </w:t>
      </w:r>
      <w:r>
        <w:t xml:space="preserve">de Felber: ¿cómo medimos el éxito de un sistema de salud? ¿Por la cantidad de cirugías o por la cantidad de personas con discapacidad que pueden vivir con autonomía y dignidad?</w:t>
      </w:r>
    </w:p>
    <w:p>
      <w:pPr>
        <w:pStyle w:val="BodyText"/>
      </w:pPr>
      <w:r>
        <w:t xml:space="preserve">Y tiene una dimensión práctica enorme: el programa de asistentes personales</w:t>
      </w:r>
      <w:r>
        <w:t xml:space="preserve"> </w:t>
      </w:r>
      <w:r>
        <w:rPr>
          <w:b/>
        </w:rPr>
        <w:t xml:space="preserve">crea 10.000+ empleos</w:t>
      </w:r>
      <w:r>
        <w:t xml:space="preserve"> </w:t>
      </w:r>
      <w:r>
        <w:t xml:space="preserve">directos en comunidades donde el desempleo es alto. Cuidar es trabajo, y merece salario.</w:t>
      </w:r>
    </w:p>
    <w:p>
      <w:r>
        <w:pict>
          <v:rect style="width:0;height:1.5pt" o:hralign="center" o:hrstd="t" o:hr="t"/>
        </w:pict>
      </w:r>
    </w:p>
    <w:p>
      <w:pPr>
        <w:pStyle w:val="Heading2"/>
      </w:pPr>
      <w:bookmarkStart w:id="46" w:name="Xe66fbf430e0bdfe2cdddad9bc9b84ee6565e86a"/>
      <w:r>
        <w:t xml:space="preserve">Política 4: Misión Nacional contra el Dengue, Chagas y Enfermedades Desatendidas</w:t>
      </w:r>
      <w:bookmarkEnd w:id="46"/>
    </w:p>
    <w:p>
      <w:pPr>
        <w:pStyle w:val="FirstParagraph"/>
      </w:pPr>
      <w:r>
        <w:rPr>
          <w:i/>
        </w:rPr>
        <w:t xml:space="preserve">Inspirada en el enfoque de misiones (Mazzucato), la estrategia AI-first para enfermedades tropicales, y el modelo de erradicación de la viruela</w:t>
      </w:r>
    </w:p>
    <w:p>
      <w:pPr>
        <w:pStyle w:val="Heading3"/>
      </w:pPr>
      <w:bookmarkStart w:id="47" w:name="qué-es-3"/>
      <w:r>
        <w:t xml:space="preserve">Qué es</w:t>
      </w:r>
      <w:bookmarkEnd w:id="47"/>
    </w:p>
    <w:p>
      <w:pPr>
        <w:pStyle w:val="FirstParagraph"/>
      </w:pPr>
      <w:r>
        <w:t xml:space="preserve">Una</w:t>
      </w:r>
      <w:r>
        <w:t xml:space="preserve"> </w:t>
      </w:r>
      <w:r>
        <w:t xml:space="preserve">“</w:t>
      </w:r>
      <w:r>
        <w:t xml:space="preserve">misión</w:t>
      </w:r>
      <w:r>
        <w:t xml:space="preserve">”</w:t>
      </w:r>
      <w:r>
        <w:t xml:space="preserve"> </w:t>
      </w:r>
      <w:r>
        <w:t xml:space="preserve">en el sentido de Mazzucato: un objetivo nacional ambicioso, medible, con plazo definido:</w:t>
      </w:r>
      <w:r>
        <w:t xml:space="preserve"> </w:t>
      </w:r>
      <w:r>
        <w:rPr>
          <w:b/>
        </w:rPr>
        <w:t xml:space="preserve">reducir las muertes por dengue a cero, diagnosticar al 80% de los infectados con Chagas, y bajar la mortalidad por hantavirus a menos del 15% — todo para 2031.</w:t>
      </w:r>
    </w:p>
    <w:p>
      <w:pPr>
        <w:pStyle w:val="BodyText"/>
      </w:pPr>
      <w:r>
        <w:t xml:space="preserve">Combina: vigilancia epidemiológica con AI, control vectorial inteligente (no solo fumigación sino gestión ambiental), diagnóstico rápido descentralizado, tratamiento accesible, investigación acelerada con AI y gemelos digitales, y participación comunitaria.</w:t>
      </w:r>
    </w:p>
    <w:p>
      <w:pPr>
        <w:pStyle w:val="Heading3"/>
      </w:pPr>
      <w:bookmarkStart w:id="48" w:name="por-qué-esta-política-3"/>
      <w:r>
        <w:t xml:space="preserve">Por qué esta política</w:t>
      </w:r>
      <w:bookmarkEnd w:id="48"/>
    </w:p>
    <w:p>
      <w:pPr>
        <w:pStyle w:val="FirstParagraph"/>
      </w:pPr>
      <w:r>
        <w:t xml:space="preserve">Argentina tuvo</w:t>
      </w:r>
      <w:r>
        <w:t xml:space="preserve"> </w:t>
      </w:r>
      <w:r>
        <w:rPr>
          <w:b/>
        </w:rPr>
        <w:t xml:space="preserve">581.559 casos confirmados de dengue en 2024</w:t>
      </w:r>
      <w:r>
        <w:t xml:space="preserve"> </w:t>
      </w:r>
      <w:r>
        <w:t xml:space="preserve">y el brote fue el más grande de su historia. La enfermedad ya es endémica y se extiende cada vez más al sur por el cambio climático. No es una emergencia puntual — es la nueva normalidad.</w:t>
      </w:r>
    </w:p>
    <w:p>
      <w:pPr>
        <w:pStyle w:val="BodyText"/>
      </w:pPr>
      <w:r>
        <w:t xml:space="preserve">Hay</w:t>
      </w:r>
      <w:r>
        <w:t xml:space="preserve"> </w:t>
      </w:r>
      <w:r>
        <w:rPr>
          <w:b/>
        </w:rPr>
        <w:t xml:space="preserve">1,6 millones de personas con Chagas</w:t>
      </w:r>
      <w:r>
        <w:t xml:space="preserve"> </w:t>
      </w:r>
      <w:r>
        <w:t xml:space="preserve">— una enfermedad de la pobreza que recibe menos del 3% del presupuesto de comunicación gubernamental. Es una deuda histórica con el Norte argentino.</w:t>
      </w:r>
    </w:p>
    <w:p>
      <w:pPr>
        <w:pStyle w:val="BodyText"/>
      </w:pPr>
      <w:r>
        <w:t xml:space="preserve">El hantavirus tiene una mortalidad del</w:t>
      </w:r>
      <w:r>
        <w:t xml:space="preserve"> </w:t>
      </w:r>
      <w:r>
        <w:rPr>
          <w:b/>
        </w:rPr>
        <w:t xml:space="preserve">33-40%</w:t>
      </w:r>
      <w:r>
        <w:t xml:space="preserve"> </w:t>
      </w:r>
      <w:r>
        <w:t xml:space="preserve">y hay transmisión persona a persona documentada en Patagonia.</w:t>
      </w:r>
    </w:p>
    <w:p>
      <w:pPr>
        <w:pStyle w:val="BodyText"/>
      </w:pPr>
      <w:r>
        <w:t xml:space="preserve">Al mismo tiempo, la AI está revolucionando el combate a enfermedades: AlphaFold predijo la estructura de 200 millones de proteínas, abriendo la puerta a nuevas drogas. Insilico Medicine ya tiene un fármaco diseñado por AI en ensayos clínicos fase IIa. Los gemelos digitales permiten simular cómo un virus interactúa con el cuerpo humano sin necesidad de ensayos animales.</w:t>
      </w:r>
    </w:p>
    <w:p>
      <w:pPr>
        <w:pStyle w:val="BodyText"/>
      </w:pPr>
      <w:r>
        <w:t xml:space="preserve">Argentina tiene algo que la mayoría de los países tropicales no:</w:t>
      </w:r>
      <w:r>
        <w:t xml:space="preserve"> </w:t>
      </w:r>
      <w:r>
        <w:rPr>
          <w:b/>
        </w:rPr>
        <w:t xml:space="preserve">CONICET, con 11.800 investigadores</w:t>
      </w:r>
      <w:r>
        <w:t xml:space="preserve">, el Instituto Malbrán, y una tradición de excelencia en biología molecular (tres premios Nobel en ciencias).</w:t>
      </w:r>
    </w:p>
    <w:p>
      <w:pPr>
        <w:pStyle w:val="Heading3"/>
      </w:pPr>
      <w:bookmarkStart w:id="49" w:name="diseño-para-argentina-3"/>
      <w:r>
        <w:t xml:space="preserve">Diseño para Argentina</w:t>
      </w:r>
      <w:bookmarkEnd w:id="49"/>
    </w:p>
    <w:p>
      <w:pPr>
        <w:pStyle w:val="FirstParagraph"/>
      </w:pPr>
      <w:r>
        <w:rPr>
          <w:b/>
        </w:rPr>
        <w:t xml:space="preserve">Eje 1 — Control Vectorial Inteligente (Dengue):</w:t>
      </w:r>
      <w:r>
        <w:t xml:space="preserve"> </w:t>
      </w:r>
      <w:r>
        <w:t xml:space="preserve">- Red de 1.000 estaciones de monitoreo de Aedes aegypti con sensores IoT y AI predictiva</w:t>
      </w:r>
      <w:r>
        <w:t xml:space="preserve"> </w:t>
      </w:r>
      <w:r>
        <w:t xml:space="preserve">- Mapas de riesgo en tiempo real actualizados semanalmente</w:t>
      </w:r>
      <w:r>
        <w:t xml:space="preserve"> </w:t>
      </w:r>
      <w:r>
        <w:t xml:space="preserve">- Descacharreo comunitario con incentivos (modelo Singapur NEA)</w:t>
      </w:r>
      <w:r>
        <w:t xml:space="preserve"> </w:t>
      </w:r>
      <w:r>
        <w:t xml:space="preserve">- Mosquitos estériles (técnica del insecto estéril) en áreas críticas</w:t>
      </w:r>
      <w:r>
        <w:t xml:space="preserve"> </w:t>
      </w:r>
      <w:r>
        <w:t xml:space="preserve">- Trabajo conjunto con equipos territoriales de Política 1</w:t>
      </w:r>
    </w:p>
    <w:p>
      <w:pPr>
        <w:pStyle w:val="BodyText"/>
      </w:pPr>
      <w:r>
        <w:rPr>
          <w:b/>
        </w:rPr>
        <w:t xml:space="preserve">Eje 2 — Diagnóstico Rápido Descentralizado (Chagas, Dengue, Hantavirus):</w:t>
      </w:r>
      <w:r>
        <w:t xml:space="preserve"> </w:t>
      </w:r>
      <w:r>
        <w:t xml:space="preserve">- Test rápidos de Chagas en todos los CAPS de zonas endémicas</w:t>
      </w:r>
      <w:r>
        <w:t xml:space="preserve"> </w:t>
      </w:r>
      <w:r>
        <w:t xml:space="preserve">- Búsqueda activa casa por casa (integrada a equipos de Política 1)</w:t>
      </w:r>
      <w:r>
        <w:t xml:space="preserve"> </w:t>
      </w:r>
      <w:r>
        <w:t xml:space="preserve">- Meta: testear a toda persona mayor de 15 años en las 10 provincias endémicas</w:t>
      </w:r>
      <w:r>
        <w:t xml:space="preserve"> </w:t>
      </w:r>
      <w:r>
        <w:t xml:space="preserve">- Test de dengue NS1 en centros de salud (diagnóstico en 15 minutos)</w:t>
      </w:r>
    </w:p>
    <w:p>
      <w:pPr>
        <w:pStyle w:val="BodyText"/>
      </w:pPr>
      <w:r>
        <w:rPr>
          <w:b/>
        </w:rPr>
        <w:t xml:space="preserve">Eje 3 — Investigación Acelerada con AI:</w:t>
      </w:r>
      <w:r>
        <w:t xml:space="preserve"> </w:t>
      </w:r>
      <w:r>
        <w:t xml:space="preserve">- Programa CONICET-AI: 50 becas de investigación para aplicar AI a enfermedades desatendidas</w:t>
      </w:r>
      <w:r>
        <w:t xml:space="preserve"> </w:t>
      </w:r>
      <w:r>
        <w:t xml:space="preserve">- Alianza con AlphaFold/DeepMind para modelado de proteínas de T. cruzi y hantavirus</w:t>
      </w:r>
      <w:r>
        <w:t xml:space="preserve"> </w:t>
      </w:r>
      <w:r>
        <w:t xml:space="preserve">- Gemelos digitales del sistema inmune para acelerar pruebas de vacunas de dengue</w:t>
      </w:r>
      <w:r>
        <w:t xml:space="preserve"> </w:t>
      </w:r>
      <w:r>
        <w:t xml:space="preserve">- Meta: que Argentina sea referente mundial en investigación de Chagas con AI</w:t>
      </w:r>
    </w:p>
    <w:p>
      <w:pPr>
        <w:pStyle w:val="BodyText"/>
      </w:pPr>
      <w:r>
        <w:rPr>
          <w:b/>
        </w:rPr>
        <w:t xml:space="preserve">Eje 4 — Participación Comunitaria:</w:t>
      </w:r>
      <w:r>
        <w:t xml:space="preserve"> </w:t>
      </w:r>
      <w:r>
        <w:t xml:space="preserve">- Programa</w:t>
      </w:r>
      <w:r>
        <w:t xml:space="preserve"> </w:t>
      </w:r>
      <w:r>
        <w:t xml:space="preserve">“</w:t>
      </w:r>
      <w:r>
        <w:t xml:space="preserve">Vecinos contra el Dengue</w:t>
      </w:r>
      <w:r>
        <w:t xml:space="preserve">”</w:t>
      </w:r>
      <w:r>
        <w:t xml:space="preserve">: capacitación de referentes barriales</w:t>
      </w:r>
      <w:r>
        <w:t xml:space="preserve"> </w:t>
      </w:r>
      <w:r>
        <w:t xml:space="preserve">- Eliminación de criaderos como parte de la urbanización de barrios (Política 2 de Vivienda)</w:t>
      </w:r>
      <w:r>
        <w:t xml:space="preserve"> </w:t>
      </w:r>
      <w:r>
        <w:t xml:space="preserve">- Escuelas como centros de prevención (niños como agentes de cambio)</w:t>
      </w:r>
    </w:p>
    <w:p>
      <w:pPr>
        <w:pStyle w:val="BodyText"/>
      </w:pPr>
      <w:r>
        <w:rPr>
          <w:b/>
        </w:rPr>
        <w:t xml:space="preserve">Meta:</w:t>
      </w:r>
      <w:r>
        <w:t xml:space="preserve"> </w:t>
      </w:r>
      <w:r>
        <w:t xml:space="preserve">Muertes por dengue: de 355 (2024) a</w:t>
      </w:r>
      <w:r>
        <w:t xml:space="preserve"> </w:t>
      </w:r>
      <w:r>
        <w:rPr>
          <w:b/>
        </w:rPr>
        <w:t xml:space="preserve">menos de 20</w:t>
      </w:r>
      <w:r>
        <w:t xml:space="preserve"> </w:t>
      </w:r>
      <w:r>
        <w:t xml:space="preserve">para 2031. Chagas diagnosticado: del 30% al</w:t>
      </w:r>
      <w:r>
        <w:t xml:space="preserve"> </w:t>
      </w:r>
      <w:r>
        <w:rPr>
          <w:b/>
        </w:rPr>
        <w:t xml:space="preserve">80%</w:t>
      </w:r>
      <w:r>
        <w:t xml:space="preserve"> </w:t>
      </w:r>
      <w:r>
        <w:t xml:space="preserve">de los infectados. Mortalidad hantavirus: del 33% a</w:t>
      </w:r>
      <w:r>
        <w:t xml:space="preserve"> </w:t>
      </w:r>
      <w:r>
        <w:rPr>
          <w:b/>
        </w:rPr>
        <w:t xml:space="preserve">menos del 15%</w:t>
      </w:r>
      <w:r>
        <w:t xml:space="preserve">.</w:t>
      </w:r>
    </w:p>
    <w:p>
      <w:pPr>
        <w:pStyle w:val="Heading3"/>
      </w:pPr>
      <w:bookmarkStart w:id="50" w:name="costeo-3"/>
      <w:r>
        <w:t xml:space="preserve">Costeo</w:t>
      </w:r>
      <w:bookmarkEnd w:id="50"/>
    </w:p>
    <w:tbl>
      <w:tblPr>
        <w:tblStyle w:val="Table"/>
        <w:tblW w:type="pct" w:w="5000.0"/>
        <w:tblLook w:firstRow="1"/>
      </w:tblPr>
      <w:tblGrid>
        <w:gridCol w:w="3046"/>
        <w:gridCol w:w="4873"/>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Total (5 años)</w:t>
            </w:r>
          </w:p>
        </w:tc>
      </w:tr>
      <w:tr>
        <w:tc>
          <w:p>
            <w:pPr>
              <w:pStyle w:val="Compact"/>
              <w:jc w:val="left"/>
            </w:pPr>
            <w:r>
              <w:t xml:space="preserve">Red de monitoreo vectorial con AI (1.000 estaciones)</w:t>
            </w:r>
          </w:p>
        </w:tc>
        <w:tc>
          <w:p>
            <w:pPr>
              <w:pStyle w:val="Compact"/>
              <w:jc w:val="left"/>
            </w:pPr>
            <w:r>
              <w:t xml:space="preserve">USD 50 millones</w:t>
            </w:r>
          </w:p>
        </w:tc>
      </w:tr>
      <w:tr>
        <w:tc>
          <w:p>
            <w:pPr>
              <w:pStyle w:val="Compact"/>
              <w:jc w:val="left"/>
            </w:pPr>
            <w:r>
              <w:t xml:space="preserve">Control vectorial (insecto estéril + gestión ambiental)</w:t>
            </w:r>
          </w:p>
        </w:tc>
        <w:tc>
          <w:p>
            <w:pPr>
              <w:pStyle w:val="Compact"/>
              <w:jc w:val="left"/>
            </w:pPr>
            <w:r>
              <w:t xml:space="preserve">USD 120 millones</w:t>
            </w:r>
          </w:p>
        </w:tc>
      </w:tr>
      <w:tr>
        <w:tc>
          <w:p>
            <w:pPr>
              <w:pStyle w:val="Compact"/>
              <w:jc w:val="left"/>
            </w:pPr>
            <w:r>
              <w:t xml:space="preserve">Tests rápidos y búsqueda activa de Chagas</w:t>
            </w:r>
          </w:p>
        </w:tc>
        <w:tc>
          <w:p>
            <w:pPr>
              <w:pStyle w:val="Compact"/>
              <w:jc w:val="left"/>
            </w:pPr>
            <w:r>
              <w:t xml:space="preserve">USD 80 millones</w:t>
            </w:r>
          </w:p>
        </w:tc>
      </w:tr>
      <w:tr>
        <w:tc>
          <w:p>
            <w:pPr>
              <w:pStyle w:val="Compact"/>
              <w:jc w:val="left"/>
            </w:pPr>
            <w:r>
              <w:t xml:space="preserve">Tratamiento de Chagas (Nifurtimox/Benznidazol para 500.000 personas)</w:t>
            </w:r>
          </w:p>
        </w:tc>
        <w:tc>
          <w:p>
            <w:pPr>
              <w:pStyle w:val="Compact"/>
              <w:jc w:val="left"/>
            </w:pPr>
            <w:r>
              <w:t xml:space="preserve">USD 60 millones</w:t>
            </w:r>
          </w:p>
        </w:tc>
      </w:tr>
      <w:tr>
        <w:tc>
          <w:p>
            <w:pPr>
              <w:pStyle w:val="Compact"/>
              <w:jc w:val="left"/>
            </w:pPr>
            <w:r>
              <w:t xml:space="preserve">Diagnóstico rápido de dengue en CAPS</w:t>
            </w:r>
          </w:p>
        </w:tc>
        <w:tc>
          <w:p>
            <w:pPr>
              <w:pStyle w:val="Compact"/>
              <w:jc w:val="left"/>
            </w:pPr>
            <w:r>
              <w:t xml:space="preserve">USD 30 millones</w:t>
            </w:r>
          </w:p>
        </w:tc>
      </w:tr>
      <w:tr>
        <w:tc>
          <w:p>
            <w:pPr>
              <w:pStyle w:val="Compact"/>
              <w:jc w:val="left"/>
            </w:pPr>
            <w:r>
              <w:t xml:space="preserve">Programa CONICET-AI (50 becas + laboratorios + computación)</w:t>
            </w:r>
          </w:p>
        </w:tc>
        <w:tc>
          <w:p>
            <w:pPr>
              <w:pStyle w:val="Compact"/>
              <w:jc w:val="left"/>
            </w:pPr>
            <w:r>
              <w:t xml:space="preserve">USD 40 millones</w:t>
            </w:r>
          </w:p>
        </w:tc>
      </w:tr>
      <w:tr>
        <w:tc>
          <w:p>
            <w:pPr>
              <w:pStyle w:val="Compact"/>
              <w:jc w:val="left"/>
            </w:pPr>
            <w:r>
              <w:t xml:space="preserve">Participación comunitaria y comunicación</w:t>
            </w:r>
          </w:p>
        </w:tc>
        <w:tc>
          <w:p>
            <w:pPr>
              <w:pStyle w:val="Compact"/>
              <w:jc w:val="left"/>
            </w:pPr>
            <w:r>
              <w:t xml:space="preserve">USD 20 millones</w:t>
            </w:r>
          </w:p>
        </w:tc>
      </w:tr>
      <w:tr>
        <w:tc>
          <w:p>
            <w:pPr>
              <w:pStyle w:val="Compact"/>
              <w:jc w:val="left"/>
            </w:pPr>
            <w:r>
              <w:t xml:space="preserve">Vacunación dengue (cuando vacuna esté disponible a escala)</w:t>
            </w:r>
          </w:p>
        </w:tc>
        <w:tc>
          <w:p>
            <w:pPr>
              <w:pStyle w:val="Compact"/>
              <w:jc w:val="left"/>
            </w:pPr>
            <w:r>
              <w:t xml:space="preserve">USD 150 millones</w:t>
            </w:r>
          </w:p>
        </w:tc>
      </w:tr>
      <w:tr>
        <w:tc>
          <w:p>
            <w:pPr>
              <w:pStyle w:val="Compact"/>
              <w:jc w:val="left"/>
            </w:pPr>
            <w:r>
              <w:rPr>
                <w:b/>
              </w:rPr>
              <w:t xml:space="preserve">Total</w:t>
            </w:r>
          </w:p>
        </w:tc>
        <w:tc>
          <w:p>
            <w:pPr>
              <w:pStyle w:val="Compact"/>
              <w:jc w:val="left"/>
            </w:pPr>
            <w:r>
              <w:rPr>
                <w:b/>
              </w:rPr>
              <w:t xml:space="preserve">USD 550 millones (5 años)</w:t>
            </w:r>
          </w:p>
        </w:tc>
      </w:tr>
    </w:tbl>
    <w:p>
      <w:pPr>
        <w:pStyle w:val="Heading3"/>
      </w:pPr>
      <w:bookmarkStart w:id="51" w:name="financiamiento-3"/>
      <w:r>
        <w:t xml:space="preserve">Financiamiento</w:t>
      </w:r>
      <w:bookmarkEnd w:id="51"/>
    </w:p>
    <w:p>
      <w:pPr>
        <w:numPr>
          <w:ilvl w:val="0"/>
          <w:numId w:val="1006"/>
        </w:numPr>
        <w:pStyle w:val="Compact"/>
      </w:pPr>
      <w:r>
        <w:rPr>
          <w:b/>
        </w:rPr>
        <w:t xml:space="preserve">30% — Global Fund / GAVI / OPS:</w:t>
      </w:r>
      <w:r>
        <w:t xml:space="preserve"> </w:t>
      </w:r>
      <w:r>
        <w:t xml:space="preserve">USD 165 millones. Chagas y dengue califican para financiamiento del Global Fund. GAVI para vacunas.</w:t>
      </w:r>
    </w:p>
    <w:p>
      <w:pPr>
        <w:numPr>
          <w:ilvl w:val="0"/>
          <w:numId w:val="1006"/>
        </w:numPr>
        <w:pStyle w:val="Compact"/>
      </w:pPr>
      <w:r>
        <w:rPr>
          <w:b/>
        </w:rPr>
        <w:t xml:space="preserve">25% — Presupuesto nacional (Min. Salud + MinCyT):</w:t>
      </w:r>
      <w:r>
        <w:t xml:space="preserve"> </w:t>
      </w:r>
      <w:r>
        <w:t xml:space="preserve">USD 137,5 millones</w:t>
      </w:r>
    </w:p>
    <w:p>
      <w:pPr>
        <w:numPr>
          <w:ilvl w:val="0"/>
          <w:numId w:val="1006"/>
        </w:numPr>
        <w:pStyle w:val="Compact"/>
      </w:pPr>
      <w:r>
        <w:rPr>
          <w:b/>
        </w:rPr>
        <w:t xml:space="preserve">20% — BID:</w:t>
      </w:r>
      <w:r>
        <w:t xml:space="preserve"> </w:t>
      </w:r>
      <w:r>
        <w:t xml:space="preserve">USD 110 millones</w:t>
      </w:r>
    </w:p>
    <w:p>
      <w:pPr>
        <w:numPr>
          <w:ilvl w:val="0"/>
          <w:numId w:val="1006"/>
        </w:numPr>
        <w:pStyle w:val="Compact"/>
      </w:pPr>
      <w:r>
        <w:rPr>
          <w:b/>
        </w:rPr>
        <w:t xml:space="preserve">15% — Fondo Verde para el Clima (componente adaptación):</w:t>
      </w:r>
      <w:r>
        <w:t xml:space="preserve"> </w:t>
      </w:r>
      <w:r>
        <w:t xml:space="preserve">USD 82,5 millones. El dengue se expande por cambio climático — califica como adaptación.</w:t>
      </w:r>
    </w:p>
    <w:p>
      <w:pPr>
        <w:numPr>
          <w:ilvl w:val="0"/>
          <w:numId w:val="1006"/>
        </w:numPr>
        <w:pStyle w:val="Compact"/>
      </w:pPr>
      <w:r>
        <w:rPr>
          <w:b/>
        </w:rPr>
        <w:t xml:space="preserve">10% — Alianzas con pharma/tech (Sanofi, Takeda, DeepMind):</w:t>
      </w:r>
      <w:r>
        <w:t xml:space="preserve"> </w:t>
      </w:r>
      <w:r>
        <w:t xml:space="preserve">USD 55 millones en investigación conjunta.</w:t>
      </w:r>
    </w:p>
    <w:p>
      <w:pPr>
        <w:pStyle w:val="Heading3"/>
      </w:pPr>
      <w:bookmarkStart w:id="52" w:name="diálogo-con-el-marco-teórico-3"/>
      <w:r>
        <w:t xml:space="preserve">Diálogo con el marco teórico</w:t>
      </w:r>
      <w:bookmarkEnd w:id="52"/>
    </w:p>
    <w:p>
      <w:pPr>
        <w:pStyle w:val="FirstParagraph"/>
      </w:pPr>
      <w:r>
        <w:t xml:space="preserve">Esta es la política más directamente inspirada en</w:t>
      </w:r>
      <w:r>
        <w:t xml:space="preserve"> </w:t>
      </w:r>
      <w:r>
        <w:rPr>
          <w:b/>
        </w:rPr>
        <w:t xml:space="preserve">Mariana Mazzucato</w:t>
      </w:r>
      <w:r>
        <w:t xml:space="preserve">: una misión con objetivo claro, plazo, y que requiere coordinación entre Estado, academia, sector privado e industria farmacéutica. No es un programa — es una cruzada nacional.</w:t>
      </w:r>
    </w:p>
    <w:p>
      <w:pPr>
        <w:pStyle w:val="BodyText"/>
      </w:pPr>
      <w:r>
        <w:t xml:space="preserve">Conecta con</w:t>
      </w:r>
      <w:r>
        <w:t xml:space="preserve"> </w:t>
      </w:r>
      <w:r>
        <w:rPr>
          <w:b/>
        </w:rPr>
        <w:t xml:space="preserve">Ha-Joon Chang</w:t>
      </w:r>
      <w:r>
        <w:t xml:space="preserve">: los países que resolvieron enfermedades endémicas (EE.UU. con malaria en el sur, Brasil con fiebre amarilla) lo hicieron con intervención estatal masiva y sostenida, no con el mercado.</w:t>
      </w:r>
    </w:p>
    <w:p>
      <w:pPr>
        <w:pStyle w:val="BodyText"/>
      </w:pPr>
      <w:r>
        <w:t xml:space="preserve">Se vincula con la</w:t>
      </w:r>
      <w:r>
        <w:t xml:space="preserve"> </w:t>
      </w:r>
      <w:r>
        <w:rPr>
          <w:b/>
        </w:rPr>
        <w:t xml:space="preserve">justicia climática</w:t>
      </w:r>
      <w:r>
        <w:t xml:space="preserve"> </w:t>
      </w:r>
      <w:r>
        <w:t xml:space="preserve">de Naomi Klein: el dengue se expande por el calentamiento global. Los que más sufren son los más pobres (barrios sin cloacas donde se acumula agua). Combatir el dengue ES justicia climática.</w:t>
      </w:r>
    </w:p>
    <w:p>
      <w:pPr>
        <w:pStyle w:val="BodyText"/>
      </w:pPr>
      <w:r>
        <w:t xml:space="preserve">Y dialoga con algo que no necesita marco teórico: 1,6 millones de personas con Chagas en un país que gasta el 10% de su PBI en salud es una vergüenza. Resolverlo es una cuestión de dignidad humana.</w:t>
      </w:r>
    </w:p>
    <w:p>
      <w:r>
        <w:pict>
          <v:rect style="width:0;height:1.5pt" o:hralign="center" o:hrstd="t" o:hr="t"/>
        </w:pict>
      </w:r>
    </w:p>
    <w:p>
      <w:pPr>
        <w:pStyle w:val="Heading2"/>
      </w:pPr>
      <w:bookmarkStart w:id="53" w:name="X6cb02aa3b75f56afabffeecc86b0ecde9830aec"/>
      <w:r>
        <w:t xml:space="preserve">Política 5: Programa de Bienestar Integral: Deporte, Movimiento y Salud Mental Comunitaria</w:t>
      </w:r>
      <w:bookmarkEnd w:id="53"/>
    </w:p>
    <w:p>
      <w:pPr>
        <w:pStyle w:val="FirstParagraph"/>
      </w:pPr>
      <w:r>
        <w:rPr>
          <w:i/>
        </w:rPr>
        <w:t xml:space="preserve">Inspirada en Islandia (Planet Youth), Reino Unido (Social Prescribing), Japón (Ikigai), y la prescripción social</w:t>
      </w:r>
    </w:p>
    <w:p>
      <w:pPr>
        <w:pStyle w:val="Heading3"/>
      </w:pPr>
      <w:bookmarkStart w:id="54" w:name="qué-es-4"/>
      <w:r>
        <w:t xml:space="preserve">Qué es</w:t>
      </w:r>
      <w:bookmarkEnd w:id="54"/>
    </w:p>
    <w:p>
      <w:pPr>
        <w:pStyle w:val="FirstParagraph"/>
      </w:pPr>
      <w:r>
        <w:t xml:space="preserve">Un programa que cambia el paradigma: en vez de esperar a que la gente se enferme, crear las condiciones para que esté sana. Tiene tres pilares:</w:t>
      </w:r>
    </w:p>
    <w:p>
      <w:pPr>
        <w:numPr>
          <w:ilvl w:val="0"/>
          <w:numId w:val="1007"/>
        </w:numPr>
      </w:pPr>
      <w:r>
        <w:rPr>
          <w:b/>
        </w:rPr>
        <w:t xml:space="preserve">Prescripción social:</w:t>
      </w:r>
      <w:r>
        <w:t xml:space="preserve"> </w:t>
      </w:r>
      <w:r>
        <w:t xml:space="preserve">Los médicos pueden</w:t>
      </w:r>
      <w:r>
        <w:t xml:space="preserve"> </w:t>
      </w:r>
      <w:r>
        <w:t xml:space="preserve">“</w:t>
      </w:r>
      <w:r>
        <w:t xml:space="preserve">recetar</w:t>
      </w:r>
      <w:r>
        <w:t xml:space="preserve">”</w:t>
      </w:r>
      <w:r>
        <w:t xml:space="preserve"> </w:t>
      </w:r>
      <w:r>
        <w:t xml:space="preserve">actividad física, contacto con la naturaleza, participación en grupos comunitarios, talleres de arte o meditación — y el sistema público lo provee gratuitamente.</w:t>
      </w:r>
    </w:p>
    <w:p>
      <w:pPr>
        <w:numPr>
          <w:ilvl w:val="0"/>
          <w:numId w:val="1007"/>
        </w:numPr>
      </w:pPr>
      <w:r>
        <w:rPr>
          <w:b/>
        </w:rPr>
        <w:t xml:space="preserve">Plazas Activas:</w:t>
      </w:r>
      <w:r>
        <w:t xml:space="preserve"> </w:t>
      </w:r>
      <w:r>
        <w:t xml:space="preserve">Transformación de 500 plazas en todo el país en centros de bienestar al aire libre con equipamiento para ejercicio, clases gratuitas de yoga/tai chi/gimnasia, huerta comunitaria, y profesores de educación física.</w:t>
      </w:r>
    </w:p>
    <w:p>
      <w:pPr>
        <w:numPr>
          <w:ilvl w:val="0"/>
          <w:numId w:val="1007"/>
        </w:numPr>
      </w:pPr>
      <w:r>
        <w:rPr>
          <w:b/>
        </w:rPr>
        <w:t xml:space="preserve">Modelo Planet Youth para adolescentes:</w:t>
      </w:r>
      <w:r>
        <w:t xml:space="preserve"> </w:t>
      </w:r>
      <w:r>
        <w:t xml:space="preserve">Basado en el programa islandés que redujo el consumo de sustancias en adolescentes del 42% al 5% en 20 años, mediante deporte, actividades culturales, participación familiar y límites comunitarios.</w:t>
      </w:r>
    </w:p>
    <w:p>
      <w:pPr>
        <w:pStyle w:val="Heading3"/>
      </w:pPr>
      <w:bookmarkStart w:id="55" w:name="por-qué-esta-política-4"/>
      <w:r>
        <w:t xml:space="preserve">Por qué esta política</w:t>
      </w:r>
      <w:bookmarkEnd w:id="55"/>
    </w:p>
    <w:p>
      <w:pPr>
        <w:pStyle w:val="FirstParagraph"/>
      </w:pPr>
      <w:r>
        <w:t xml:space="preserve">En el Reino Unido, la</w:t>
      </w:r>
      <w:r>
        <w:t xml:space="preserve"> </w:t>
      </w:r>
      <w:r>
        <w:rPr>
          <w:b/>
        </w:rPr>
        <w:t xml:space="preserve">prescripción social</w:t>
      </w:r>
      <w:r>
        <w:t xml:space="preserve"> </w:t>
      </w:r>
      <w:r>
        <w:t xml:space="preserve">ya atiende a más de 1 millón de personas por año. En vez de recetar antidepresivos, el médico receta:</w:t>
      </w:r>
      <w:r>
        <w:t xml:space="preserve"> </w:t>
      </w:r>
      <w:r>
        <w:t xml:space="preserve">“</w:t>
      </w:r>
      <w:r>
        <w:t xml:space="preserve">camine 30 minutos con un grupo de caminata los martes y jueves</w:t>
      </w:r>
      <w:r>
        <w:t xml:space="preserve">”</w:t>
      </w:r>
      <w:r>
        <w:t xml:space="preserve"> </w:t>
      </w:r>
      <w:r>
        <w:t xml:space="preserve">o</w:t>
      </w:r>
      <w:r>
        <w:t xml:space="preserve"> </w:t>
      </w:r>
      <w:r>
        <w:t xml:space="preserve">“</w:t>
      </w:r>
      <w:r>
        <w:t xml:space="preserve">únase al taller de huerta comunitaria</w:t>
      </w:r>
      <w:r>
        <w:t xml:space="preserve">”</w:t>
      </w:r>
      <w:r>
        <w:t xml:space="preserve">. Resultado: reducción del 28% en visitas a guardia, mejora significativa en indicadores de depresión y ansiedad, ahorro al sistema de salud.</w:t>
      </w:r>
    </w:p>
    <w:p>
      <w:pPr>
        <w:pStyle w:val="BodyText"/>
      </w:pPr>
      <w:r>
        <w:t xml:space="preserve">En Islandia,</w:t>
      </w:r>
      <w:r>
        <w:t xml:space="preserve"> </w:t>
      </w:r>
      <w:r>
        <w:rPr>
          <w:b/>
        </w:rPr>
        <w:t xml:space="preserve">Planet Youth</w:t>
      </w:r>
      <w:r>
        <w:t xml:space="preserve"> </w:t>
      </w:r>
      <w:r>
        <w:t xml:space="preserve">transformó a la juventud: en 1998 el 42% de los adolescentes de 15-16 se había emborrachado en el último mes. En 2022: 5%. Lo hicieron sin prohibiciones — con deporte organizado gratuito, mayor tiempo en familia, actividades culturales, y participación comunitaria.</w:t>
      </w:r>
    </w:p>
    <w:p>
      <w:pPr>
        <w:pStyle w:val="BodyText"/>
      </w:pPr>
      <w:r>
        <w:t xml:space="preserve">En Japón, el concepto de</w:t>
      </w:r>
      <w:r>
        <w:t xml:space="preserve"> </w:t>
      </w:r>
      <w:r>
        <w:rPr>
          <w:b/>
        </w:rPr>
        <w:t xml:space="preserve">Ikigai</w:t>
      </w:r>
      <w:r>
        <w:t xml:space="preserve"> </w:t>
      </w:r>
      <w:r>
        <w:t xml:space="preserve">(razón de ser) y los programas comunitarios para adultos mayores (salones, ejercicio grupal, huerta) reducen la demencia en un 30% y la depresión en un 50%.</w:t>
      </w:r>
    </w:p>
    <w:p>
      <w:pPr>
        <w:pStyle w:val="BodyText"/>
      </w:pPr>
      <w:r>
        <w:t xml:space="preserve">Argentina tiene una crisis de salud mental: la pandemia la agravó y los recortes presupuestarios la profundizaron. Las listas de espera para psicólogos en hospitales públicos son de meses. Y al mismo tiempo, el país tiene una cultura de mate-en-la-plaza, deporte barrial, y vínculo comunitario que es una fortaleza enorme sobre la cual construir.</w:t>
      </w:r>
    </w:p>
    <w:p>
      <w:pPr>
        <w:pStyle w:val="Heading3"/>
      </w:pPr>
      <w:bookmarkStart w:id="56" w:name="diseño-para-argentina-4"/>
      <w:r>
        <w:t xml:space="preserve">Diseño para Argentina</w:t>
      </w:r>
      <w:bookmarkEnd w:id="56"/>
    </w:p>
    <w:p>
      <w:pPr>
        <w:pStyle w:val="FirstParagraph"/>
      </w:pPr>
      <w:r>
        <w:rPr>
          <w:b/>
        </w:rPr>
        <w:t xml:space="preserve">Pilar 1 — Prescripción Social:</w:t>
      </w:r>
      <w:r>
        <w:t xml:space="preserve"> </w:t>
      </w:r>
      <w:r>
        <w:t xml:space="preserve">- Los equipos territoriales (Política 1) y todos los CAPS pueden</w:t>
      </w:r>
      <w:r>
        <w:t xml:space="preserve"> </w:t>
      </w:r>
      <w:r>
        <w:t xml:space="preserve">“</w:t>
      </w:r>
      <w:r>
        <w:t xml:space="preserve">recetar</w:t>
      </w:r>
      <w:r>
        <w:t xml:space="preserve">”</w:t>
      </w:r>
      <w:r>
        <w:t xml:space="preserve"> </w:t>
      </w:r>
      <w:r>
        <w:t xml:space="preserve">actividades de bienestar</w:t>
      </w:r>
      <w:r>
        <w:t xml:space="preserve"> </w:t>
      </w:r>
      <w:r>
        <w:t xml:space="preserve">- Catálogo de actividades disponibles por zona: caminata grupal, yoga, natación, taller de cerámica, huerta, meditación, grupo de lectura, voluntariado</w:t>
      </w:r>
      <w:r>
        <w:t xml:space="preserve"> </w:t>
      </w:r>
      <w:r>
        <w:t xml:space="preserve">- Plataforma digital que conecta pacientes con actividades (como un Airbnb de bienestar)</w:t>
      </w:r>
      <w:r>
        <w:t xml:space="preserve"> </w:t>
      </w:r>
      <w:r>
        <w:t xml:space="preserve">- Evaluación de impacto: seguimiento a 6 y 12 meses</w:t>
      </w:r>
    </w:p>
    <w:p>
      <w:pPr>
        <w:pStyle w:val="BodyText"/>
      </w:pPr>
      <w:r>
        <w:rPr>
          <w:b/>
        </w:rPr>
        <w:t xml:space="preserve">Pilar 2 — 500 Plazas Activas:</w:t>
      </w:r>
      <w:r>
        <w:t xml:space="preserve"> </w:t>
      </w:r>
      <w:r>
        <w:t xml:space="preserve">- Equipamiento: barras de ejercicio, circuito aeróbico, espacio techado para clases</w:t>
      </w:r>
      <w:r>
        <w:t xml:space="preserve"> </w:t>
      </w:r>
      <w:r>
        <w:t xml:space="preserve">- 2 profesores de educación física permanentes por plaza</w:t>
      </w:r>
      <w:r>
        <w:t xml:space="preserve"> </w:t>
      </w:r>
      <w:r>
        <w:t xml:space="preserve">- Clases gratuitas: yoga (mañana), gimnasia para adultos mayores, fútbol infantil, tai chi</w:t>
      </w:r>
      <w:r>
        <w:t xml:space="preserve"> </w:t>
      </w:r>
      <w:r>
        <w:t xml:space="preserve">- Huerta comunitaria adjunta</w:t>
      </w:r>
      <w:r>
        <w:t xml:space="preserve"> </w:t>
      </w:r>
      <w:r>
        <w:t xml:space="preserve">- WiFi gratuito</w:t>
      </w:r>
      <w:r>
        <w:t xml:space="preserve"> </w:t>
      </w:r>
      <w:r>
        <w:t xml:space="preserve">- Priorización: barrios populares y ciudades intermedias</w:t>
      </w:r>
    </w:p>
    <w:p>
      <w:pPr>
        <w:pStyle w:val="BodyText"/>
      </w:pPr>
      <w:r>
        <w:rPr>
          <w:b/>
        </w:rPr>
        <w:t xml:space="preserve">Pilar 3 — Planet Youth Argentina:</w:t>
      </w:r>
      <w:r>
        <w:t xml:space="preserve"> </w:t>
      </w:r>
      <w:r>
        <w:t xml:space="preserve">- Encuesta anual a todos los adolescentes de 13-18 años (hábitos, bienestar, consumo de sustancias, relación con la familia)</w:t>
      </w:r>
      <w:r>
        <w:t xml:space="preserve"> </w:t>
      </w:r>
      <w:r>
        <w:t xml:space="preserve">- Los datos se devuelven a cada comunidad para diseñar intervenciones locales</w:t>
      </w:r>
      <w:r>
        <w:t xml:space="preserve"> </w:t>
      </w:r>
      <w:r>
        <w:t xml:space="preserve">- Subsidio para deportes organizados (clubes de barrio, escuelas deportivas)</w:t>
      </w:r>
      <w:r>
        <w:t xml:space="preserve"> </w:t>
      </w:r>
      <w:r>
        <w:t xml:space="preserve">- Actividades culturales gratuitas para adolescentes (música, teatro, arte, programación)</w:t>
      </w:r>
      <w:r>
        <w:t xml:space="preserve"> </w:t>
      </w:r>
      <w:r>
        <w:t xml:space="preserve">- Involucramiento de familias: talleres para padres</w:t>
      </w:r>
    </w:p>
    <w:p>
      <w:pPr>
        <w:pStyle w:val="BodyText"/>
      </w:pPr>
      <w:r>
        <w:rPr>
          <w:b/>
        </w:rPr>
        <w:t xml:space="preserve">Meta:</w:t>
      </w:r>
      <w:r>
        <w:t xml:space="preserve"> </w:t>
      </w:r>
      <w:r>
        <w:t xml:space="preserve">2 millones de personas participando en actividades de bienestar prescriptas o en Plazas Activas. Reducción del 30% en consumo de sustancias en adolescentes. Reducción del 20% en consultas de guardia por crisis de salud mental.</w:t>
      </w:r>
    </w:p>
    <w:p>
      <w:pPr>
        <w:pStyle w:val="Heading3"/>
      </w:pPr>
      <w:bookmarkStart w:id="57" w:name="costeo-4"/>
      <w:r>
        <w:t xml:space="preserve">Costeo</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Total (5 años)</w:t>
            </w:r>
          </w:p>
        </w:tc>
      </w:tr>
      <w:tr>
        <w:tc>
          <w:p>
            <w:pPr>
              <w:pStyle w:val="Compact"/>
              <w:jc w:val="left"/>
            </w:pPr>
            <w:r>
              <w:t xml:space="preserve">500 Plazas Activas (equipamiento + construcción)</w:t>
            </w:r>
          </w:p>
        </w:tc>
        <w:tc>
          <w:p>
            <w:pPr>
              <w:pStyle w:val="Compact"/>
              <w:jc w:val="left"/>
            </w:pPr>
            <w:r>
              <w:t xml:space="preserve">USD 100 millones</w:t>
            </w:r>
          </w:p>
        </w:tc>
      </w:tr>
      <w:tr>
        <w:tc>
          <w:p>
            <w:pPr>
              <w:pStyle w:val="Compact"/>
              <w:jc w:val="left"/>
            </w:pPr>
            <w:r>
              <w:t xml:space="preserve">Profesores de educación física (1.000 × 5 años)</w:t>
            </w:r>
          </w:p>
        </w:tc>
        <w:tc>
          <w:p>
            <w:pPr>
              <w:pStyle w:val="Compact"/>
              <w:jc w:val="left"/>
            </w:pPr>
            <w:r>
              <w:t xml:space="preserve">USD 150 millones</w:t>
            </w:r>
          </w:p>
        </w:tc>
      </w:tr>
      <w:tr>
        <w:tc>
          <w:p>
            <w:pPr>
              <w:pStyle w:val="Compact"/>
              <w:jc w:val="left"/>
            </w:pPr>
            <w:r>
              <w:t xml:space="preserve">Plataforma digital de prescripción social</w:t>
            </w:r>
          </w:p>
        </w:tc>
        <w:tc>
          <w:p>
            <w:pPr>
              <w:pStyle w:val="Compact"/>
              <w:jc w:val="left"/>
            </w:pPr>
            <w:r>
              <w:t xml:space="preserve">USD 10 millones</w:t>
            </w:r>
          </w:p>
        </w:tc>
      </w:tr>
      <w:tr>
        <w:tc>
          <w:p>
            <w:pPr>
              <w:pStyle w:val="Compact"/>
              <w:jc w:val="left"/>
            </w:pPr>
            <w:r>
              <w:t xml:space="preserve">Subsidio a clubes de barrio y actividades culturales</w:t>
            </w:r>
          </w:p>
        </w:tc>
        <w:tc>
          <w:p>
            <w:pPr>
              <w:pStyle w:val="Compact"/>
              <w:jc w:val="left"/>
            </w:pPr>
            <w:r>
              <w:t xml:space="preserve">USD 80 millones</w:t>
            </w:r>
          </w:p>
        </w:tc>
      </w:tr>
      <w:tr>
        <w:tc>
          <w:p>
            <w:pPr>
              <w:pStyle w:val="Compact"/>
              <w:jc w:val="left"/>
            </w:pPr>
            <w:r>
              <w:t xml:space="preserve">Planet Youth: encuesta + intervenciones</w:t>
            </w:r>
          </w:p>
        </w:tc>
        <w:tc>
          <w:p>
            <w:pPr>
              <w:pStyle w:val="Compact"/>
              <w:jc w:val="left"/>
            </w:pPr>
            <w:r>
              <w:t xml:space="preserve">USD 40 millones</w:t>
            </w:r>
          </w:p>
        </w:tc>
      </w:tr>
      <w:tr>
        <w:tc>
          <w:p>
            <w:pPr>
              <w:pStyle w:val="Compact"/>
              <w:jc w:val="left"/>
            </w:pPr>
            <w:r>
              <w:t xml:space="preserve">Formación de instructores de bienestar</w:t>
            </w:r>
          </w:p>
        </w:tc>
        <w:tc>
          <w:p>
            <w:pPr>
              <w:pStyle w:val="Compact"/>
              <w:jc w:val="left"/>
            </w:pPr>
            <w:r>
              <w:t xml:space="preserve">USD 20 millones</w:t>
            </w:r>
          </w:p>
        </w:tc>
      </w:tr>
      <w:tr>
        <w:tc>
          <w:p>
            <w:pPr>
              <w:pStyle w:val="Compact"/>
              <w:jc w:val="left"/>
            </w:pPr>
            <w:r>
              <w:t xml:space="preserve">Comunicación y promoción</w:t>
            </w:r>
          </w:p>
        </w:tc>
        <w:tc>
          <w:p>
            <w:pPr>
              <w:pStyle w:val="Compact"/>
              <w:jc w:val="left"/>
            </w:pPr>
            <w:r>
              <w:t xml:space="preserve">USD 15 millones</w:t>
            </w:r>
          </w:p>
        </w:tc>
      </w:tr>
      <w:tr>
        <w:tc>
          <w:p>
            <w:pPr>
              <w:pStyle w:val="Compact"/>
              <w:jc w:val="left"/>
            </w:pPr>
            <w:r>
              <w:rPr>
                <w:b/>
              </w:rPr>
              <w:t xml:space="preserve">Total</w:t>
            </w:r>
          </w:p>
        </w:tc>
        <w:tc>
          <w:p>
            <w:pPr>
              <w:pStyle w:val="Compact"/>
              <w:jc w:val="left"/>
            </w:pPr>
            <w:r>
              <w:rPr>
                <w:b/>
              </w:rPr>
              <w:t xml:space="preserve">USD 415 millones (5 años)</w:t>
            </w:r>
          </w:p>
        </w:tc>
      </w:tr>
      <w:tr>
        <w:tc>
          <w:p>
            <w:pPr>
              <w:pStyle w:val="Compact"/>
              <w:jc w:val="left"/>
            </w:pPr>
            <w:r>
              <w:rPr>
                <w:b/>
              </w:rPr>
              <w:t xml:space="preserve">Costo por persona alcanzada/año</w:t>
            </w:r>
          </w:p>
        </w:tc>
        <w:tc>
          <w:p>
            <w:pPr>
              <w:pStyle w:val="Compact"/>
              <w:jc w:val="left"/>
            </w:pPr>
            <w:r>
              <w:rPr>
                <w:b/>
              </w:rPr>
              <w:t xml:space="preserve">USD 41,5</w:t>
            </w:r>
          </w:p>
        </w:tc>
      </w:tr>
    </w:tbl>
    <w:p>
      <w:pPr>
        <w:pStyle w:val="Heading3"/>
      </w:pPr>
      <w:bookmarkStart w:id="58" w:name="financiamiento-4"/>
      <w:r>
        <w:t xml:space="preserve">Financiamiento</w:t>
      </w:r>
      <w:bookmarkEnd w:id="58"/>
    </w:p>
    <w:p>
      <w:pPr>
        <w:numPr>
          <w:ilvl w:val="0"/>
          <w:numId w:val="1008"/>
        </w:numPr>
        <w:pStyle w:val="Compact"/>
      </w:pPr>
      <w:r>
        <w:rPr>
          <w:b/>
        </w:rPr>
        <w:t xml:space="preserve">40% — Presupuesto nacional (reasignación Min. Salud + Deportes + Desarrollo Social):</w:t>
      </w:r>
      <w:r>
        <w:t xml:space="preserve"> </w:t>
      </w:r>
      <w:r>
        <w:t xml:space="preserve">USD 166 millones</w:t>
      </w:r>
    </w:p>
    <w:p>
      <w:pPr>
        <w:numPr>
          <w:ilvl w:val="0"/>
          <w:numId w:val="1008"/>
        </w:numPr>
        <w:pStyle w:val="Compact"/>
      </w:pPr>
      <w:r>
        <w:rPr>
          <w:b/>
        </w:rPr>
        <w:t xml:space="preserve">25% — Gobiernos provinciales y municipales:</w:t>
      </w:r>
      <w:r>
        <w:t xml:space="preserve"> </w:t>
      </w:r>
      <w:r>
        <w:t xml:space="preserve">USD 103,75 millones (las plazas son infraestructura municipal)</w:t>
      </w:r>
    </w:p>
    <w:p>
      <w:pPr>
        <w:numPr>
          <w:ilvl w:val="0"/>
          <w:numId w:val="1008"/>
        </w:numPr>
        <w:pStyle w:val="Compact"/>
      </w:pPr>
      <w:r>
        <w:rPr>
          <w:b/>
        </w:rPr>
        <w:t xml:space="preserve">20% — BID/OPS (componente prevención):</w:t>
      </w:r>
      <w:r>
        <w:t xml:space="preserve"> </w:t>
      </w:r>
      <w:r>
        <w:t xml:space="preserve">USD 83 millones</w:t>
      </w:r>
    </w:p>
    <w:p>
      <w:pPr>
        <w:numPr>
          <w:ilvl w:val="0"/>
          <w:numId w:val="1008"/>
        </w:numPr>
        <w:pStyle w:val="Compact"/>
      </w:pPr>
      <w:r>
        <w:rPr>
          <w:b/>
        </w:rPr>
        <w:t xml:space="preserve">10% — Sponsors privados (empresas de indumentaria deportiva, alimentos saludables):</w:t>
      </w:r>
      <w:r>
        <w:t xml:space="preserve"> </w:t>
      </w:r>
      <w:r>
        <w:t xml:space="preserve">USD 41,5 millones. Las Plazas Activas pueden tener sponsoreo responsable.</w:t>
      </w:r>
    </w:p>
    <w:p>
      <w:pPr>
        <w:numPr>
          <w:ilvl w:val="0"/>
          <w:numId w:val="1008"/>
        </w:numPr>
        <w:pStyle w:val="Compact"/>
      </w:pPr>
      <w:r>
        <w:rPr>
          <w:b/>
        </w:rPr>
        <w:t xml:space="preserve">5% — Cooperación (Islandia para Planet Youth, UK para prescripción social):</w:t>
      </w:r>
      <w:r>
        <w:t xml:space="preserve"> </w:t>
      </w:r>
      <w:r>
        <w:t xml:space="preserve">USD 20,75 millones</w:t>
      </w:r>
    </w:p>
    <w:p>
      <w:pPr>
        <w:pStyle w:val="Heading3"/>
      </w:pPr>
      <w:bookmarkStart w:id="59" w:name="diálogo-con-el-marco-teórico-4"/>
      <w:r>
        <w:t xml:space="preserve">Diálogo con el marco teórico</w:t>
      </w:r>
      <w:bookmarkEnd w:id="59"/>
    </w:p>
    <w:p>
      <w:pPr>
        <w:pStyle w:val="FirstParagraph"/>
      </w:pPr>
      <w:r>
        <w:t xml:space="preserve">Esta política es donde la visión del proyecto se hace carne. Que una persona medite en una plaza pública, haga yoga al amanecer, cultive una huerta comunitaria — eso no es un</w:t>
      </w:r>
      <w:r>
        <w:t xml:space="preserve"> </w:t>
      </w:r>
      <w:r>
        <w:t xml:space="preserve">“</w:t>
      </w:r>
      <w:r>
        <w:t xml:space="preserve">gasto en salud</w:t>
      </w:r>
      <w:r>
        <w:t xml:space="preserve">”</w:t>
      </w:r>
      <w:r>
        <w:t xml:space="preserve">. Es crear las condiciones para una vida con sentido.</w:t>
      </w:r>
    </w:p>
    <w:p>
      <w:pPr>
        <w:pStyle w:val="BodyText"/>
      </w:pPr>
      <w:r>
        <w:t xml:space="preserve">Conecta con la</w:t>
      </w:r>
      <w:r>
        <w:t xml:space="preserve"> </w:t>
      </w:r>
      <w:r>
        <w:rPr>
          <w:b/>
        </w:rPr>
        <w:t xml:space="preserve">economía del bien común</w:t>
      </w:r>
      <w:r>
        <w:t xml:space="preserve"> </w:t>
      </w:r>
      <w:r>
        <w:t xml:space="preserve">de Felber y con Katherine Trebeck: el bienestar no se mide por consumo sino por calidad de vida. Un adulto mayor que hace tai chi tres veces por semana con sus vecinos tiene más bienestar que uno que puede comprar más cosas pero está solo.</w:t>
      </w:r>
    </w:p>
    <w:p>
      <w:pPr>
        <w:pStyle w:val="BodyText"/>
      </w:pPr>
      <w:r>
        <w:t xml:space="preserve">Se vincula con el concepto de</w:t>
      </w:r>
      <w:r>
        <w:t xml:space="preserve"> </w:t>
      </w:r>
      <w:r>
        <w:rPr>
          <w:b/>
        </w:rPr>
        <w:t xml:space="preserve">Buen Vivir</w:t>
      </w:r>
      <w:r>
        <w:t xml:space="preserve"> </w:t>
      </w:r>
      <w:r>
        <w:t xml:space="preserve">latinoamericano: la buena vida no es tener más sino vivir en armonía — con el cuerpo, con los otros, con el entorno.</w:t>
      </w:r>
    </w:p>
    <w:p>
      <w:pPr>
        <w:pStyle w:val="BodyText"/>
      </w:pPr>
      <w:r>
        <w:t xml:space="preserve">Dialoga con</w:t>
      </w:r>
      <w:r>
        <w:t xml:space="preserve"> </w:t>
      </w:r>
      <w:r>
        <w:rPr>
          <w:b/>
        </w:rPr>
        <w:t xml:space="preserve">Tim Jackson</w:t>
      </w:r>
      <w:r>
        <w:t xml:space="preserve"> </w:t>
      </w:r>
      <w:r>
        <w:t xml:space="preserve">y la prosperidad sin crecimiento: que la gente esté más sana, más conectada, más activa no requiere más PBI. Requiere plazas, profesores de educación física, y la decisión de que el bienestar es una prioridad pública.</w:t>
      </w:r>
    </w:p>
    <w:p>
      <w:pPr>
        <w:pStyle w:val="BodyText"/>
      </w:pPr>
      <w:r>
        <w:t xml:space="preserve">Y tiene una sabiduría práctica:</w:t>
      </w:r>
      <w:r>
        <w:t xml:space="preserve"> </w:t>
      </w:r>
      <w:r>
        <w:rPr>
          <w:b/>
        </w:rPr>
        <w:t xml:space="preserve">cada peso invertido en prevención ahorra entre 4 y 10 pesos en tratamiento</w:t>
      </w:r>
      <w:r>
        <w:t xml:space="preserve">. Cada adulto mayor que no se cae porque hace equilibrio en la plaza es una cadera que no se opera. Cada adolescente que hace deporte en vez de consumir sustancias es una internación que no sucede.</w:t>
      </w:r>
    </w:p>
    <w:p>
      <w:r>
        <w:pict>
          <v:rect style="width:0;height:1.5pt" o:hralign="center" o:hrstd="t" o:hr="t"/>
        </w:pict>
      </w:r>
    </w:p>
    <w:p>
      <w:pPr>
        <w:pStyle w:val="Heading2"/>
      </w:pPr>
      <w:bookmarkStart w:id="60" w:name="síntesis-las-5-políticas-juntas"/>
      <w:r>
        <w:t xml:space="preserve">Síntesis: Las 5 Políticas Juntas</w:t>
      </w:r>
      <w:bookmarkEnd w:id="60"/>
    </w:p>
    <w:tbl>
      <w:tblPr>
        <w:tblStyle w:val="Table"/>
        <w:tblW w:type="pct" w:w="5000.0"/>
        <w:tblLook w:firstRow="1"/>
      </w:tblPr>
      <w:tblGrid>
        <w:gridCol w:w="1182"/>
        <w:gridCol w:w="2364"/>
        <w:gridCol w:w="2364"/>
        <w:gridCol w:w="2009"/>
      </w:tblGrid>
      <w:tr>
        <w:trPr>
          <w:cnfStyle w:firstRow="1"/>
        </w:trPr>
        <w:tc>
          <w:tcPr>
            <w:tcBorders>
              <w:bottom w:val="single"/>
            </w:tcBorders>
            <w:vAlign w:val="bottom"/>
          </w:tcPr>
          <w:p>
            <w:pPr>
              <w:pStyle w:val="Compact"/>
              <w:jc w:val="left"/>
            </w:pPr>
            <w:r>
              <w:t xml:space="preserve">Política</w:t>
            </w:r>
          </w:p>
        </w:tc>
        <w:tc>
          <w:tcPr>
            <w:tcBorders>
              <w:bottom w:val="single"/>
            </w:tcBorders>
            <w:vAlign w:val="bottom"/>
          </w:tcPr>
          <w:p>
            <w:pPr>
              <w:pStyle w:val="Compact"/>
              <w:jc w:val="left"/>
            </w:pPr>
            <w:r>
              <w:t xml:space="preserve">Inversión (5 años)</w:t>
            </w:r>
          </w:p>
        </w:tc>
        <w:tc>
          <w:tcPr>
            <w:tcBorders>
              <w:bottom w:val="single"/>
            </w:tcBorders>
            <w:vAlign w:val="bottom"/>
          </w:tcPr>
          <w:p>
            <w:pPr>
              <w:pStyle w:val="Compact"/>
              <w:jc w:val="left"/>
            </w:pPr>
            <w:r>
              <w:t xml:space="preserve">Personas alcanzadas</w:t>
            </w:r>
          </w:p>
        </w:tc>
        <w:tc>
          <w:tcPr>
            <w:tcBorders>
              <w:bottom w:val="single"/>
            </w:tcBorders>
            <w:vAlign w:val="bottom"/>
          </w:tcPr>
          <w:p>
            <w:pPr>
              <w:pStyle w:val="Compact"/>
              <w:jc w:val="left"/>
            </w:pPr>
            <w:r>
              <w:t xml:space="preserve">Impacto central</w:t>
            </w:r>
          </w:p>
        </w:tc>
      </w:tr>
      <w:tr>
        <w:tc>
          <w:p>
            <w:pPr>
              <w:pStyle w:val="Compact"/>
              <w:jc w:val="left"/>
            </w:pPr>
            <w:r>
              <w:t xml:space="preserve">1. Equipos Territoriales</w:t>
            </w:r>
          </w:p>
        </w:tc>
        <w:tc>
          <w:p>
            <w:pPr>
              <w:pStyle w:val="Compact"/>
              <w:jc w:val="left"/>
            </w:pPr>
            <w:r>
              <w:t xml:space="preserve">USD 2.240M</w:t>
            </w:r>
          </w:p>
        </w:tc>
        <w:tc>
          <w:p>
            <w:pPr>
              <w:pStyle w:val="Compact"/>
              <w:jc w:val="left"/>
            </w:pPr>
            <w:r>
              <w:t xml:space="preserve">20 millones</w:t>
            </w:r>
          </w:p>
        </w:tc>
        <w:tc>
          <w:p>
            <w:pPr>
              <w:pStyle w:val="Compact"/>
              <w:jc w:val="left"/>
            </w:pPr>
            <w:r>
              <w:t xml:space="preserve">Prevención activa, acceso universal</w:t>
            </w:r>
          </w:p>
        </w:tc>
      </w:tr>
      <w:tr>
        <w:tc>
          <w:p>
            <w:pPr>
              <w:pStyle w:val="Compact"/>
              <w:jc w:val="left"/>
            </w:pPr>
            <w:r>
              <w:t xml:space="preserve">2. Diagnóstico con AI</w:t>
            </w:r>
          </w:p>
        </w:tc>
        <w:tc>
          <w:p>
            <w:pPr>
              <w:pStyle w:val="Compact"/>
              <w:jc w:val="left"/>
            </w:pPr>
            <w:r>
              <w:t xml:space="preserve">USD 460M</w:t>
            </w:r>
          </w:p>
        </w:tc>
        <w:tc>
          <w:p>
            <w:pPr>
              <w:pStyle w:val="Compact"/>
              <w:jc w:val="left"/>
            </w:pPr>
            <w:r>
              <w:t xml:space="preserve">46 millones (toda la población)</w:t>
            </w:r>
          </w:p>
        </w:tc>
        <w:tc>
          <w:p>
            <w:pPr>
              <w:pStyle w:val="Compact"/>
              <w:jc w:val="left"/>
            </w:pPr>
            <w:r>
              <w:t xml:space="preserve">Equidad diagnóstica, historia clínica universal</w:t>
            </w:r>
          </w:p>
        </w:tc>
      </w:tr>
      <w:tr>
        <w:tc>
          <w:p>
            <w:pPr>
              <w:pStyle w:val="Compact"/>
              <w:jc w:val="left"/>
            </w:pPr>
            <w:r>
              <w:t xml:space="preserve">3. Discapacidad y Neurodivergencia</w:t>
            </w:r>
          </w:p>
        </w:tc>
        <w:tc>
          <w:p>
            <w:pPr>
              <w:pStyle w:val="Compact"/>
              <w:jc w:val="left"/>
            </w:pPr>
            <w:r>
              <w:t xml:space="preserve">USD 895M</w:t>
            </w:r>
          </w:p>
        </w:tc>
        <w:tc>
          <w:p>
            <w:pPr>
              <w:pStyle w:val="Compact"/>
              <w:jc w:val="left"/>
            </w:pPr>
            <w:r>
              <w:t xml:space="preserve">500.000 personas con discapacidad</w:t>
            </w:r>
          </w:p>
        </w:tc>
        <w:tc>
          <w:p>
            <w:pPr>
              <w:pStyle w:val="Compact"/>
              <w:jc w:val="left"/>
            </w:pPr>
            <w:r>
              <w:t xml:space="preserve">Autonomía, dignidad, derechos</w:t>
            </w:r>
          </w:p>
        </w:tc>
      </w:tr>
      <w:tr>
        <w:tc>
          <w:p>
            <w:pPr>
              <w:pStyle w:val="Compact"/>
              <w:jc w:val="left"/>
            </w:pPr>
            <w:r>
              <w:t xml:space="preserve">4. Misión Dengue/Chagas/Desatendidas</w:t>
            </w:r>
          </w:p>
        </w:tc>
        <w:tc>
          <w:p>
            <w:pPr>
              <w:pStyle w:val="Compact"/>
              <w:jc w:val="left"/>
            </w:pPr>
            <w:r>
              <w:t xml:space="preserve">USD 550M</w:t>
            </w:r>
          </w:p>
        </w:tc>
        <w:tc>
          <w:p>
            <w:pPr>
              <w:pStyle w:val="Compact"/>
              <w:jc w:val="left"/>
            </w:pPr>
            <w:r>
              <w:t xml:space="preserve">5+ millones en zonas endémicas</w:t>
            </w:r>
          </w:p>
        </w:tc>
        <w:tc>
          <w:p>
            <w:pPr>
              <w:pStyle w:val="Compact"/>
              <w:jc w:val="left"/>
            </w:pPr>
            <w:r>
              <w:t xml:space="preserve">Deuda histórica saldada</w:t>
            </w:r>
          </w:p>
        </w:tc>
      </w:tr>
      <w:tr>
        <w:tc>
          <w:p>
            <w:pPr>
              <w:pStyle w:val="Compact"/>
              <w:jc w:val="left"/>
            </w:pPr>
            <w:r>
              <w:t xml:space="preserve">5. Bienestar: Deporte, Movimiento, Salud Mental</w:t>
            </w:r>
          </w:p>
        </w:tc>
        <w:tc>
          <w:p>
            <w:pPr>
              <w:pStyle w:val="Compact"/>
              <w:jc w:val="left"/>
            </w:pPr>
            <w:r>
              <w:t xml:space="preserve">USD 415M</w:t>
            </w:r>
          </w:p>
        </w:tc>
        <w:tc>
          <w:p>
            <w:pPr>
              <w:pStyle w:val="Compact"/>
              <w:jc w:val="left"/>
            </w:pPr>
            <w:r>
              <w:t xml:space="preserve">2 millones activos</w:t>
            </w:r>
          </w:p>
        </w:tc>
        <w:tc>
          <w:p>
            <w:pPr>
              <w:pStyle w:val="Compact"/>
              <w:jc w:val="left"/>
            </w:pPr>
            <w:r>
              <w:t xml:space="preserve">Prevención, comunidad, sentido</w:t>
            </w:r>
          </w:p>
        </w:tc>
      </w:tr>
    </w:tbl>
    <w:p>
      <w:pPr>
        <w:pStyle w:val="BodyText"/>
      </w:pPr>
      <w:r>
        <w:rPr>
          <w:b/>
        </w:rPr>
        <w:t xml:space="preserve">Inversión total en 5 años: USD 4.560 millones</w:t>
      </w:r>
      <w:r>
        <w:t xml:space="preserve"> </w:t>
      </w:r>
      <w:r>
        <w:rPr>
          <w:b/>
        </w:rPr>
        <w:t xml:space="preserve">Costo anual: USD 912 millones/año</w:t>
      </w:r>
    </w:p>
    <w:p>
      <w:pPr>
        <w:pStyle w:val="Heading3"/>
      </w:pPr>
      <w:bookmarkStart w:id="61" w:name="el-costo-en-perspectiva"/>
      <w:r>
        <w:t xml:space="preserve">El costo en perspectiva</w:t>
      </w:r>
      <w:bookmarkEnd w:id="61"/>
    </w:p>
    <w:p>
      <w:pPr>
        <w:numPr>
          <w:ilvl w:val="0"/>
          <w:numId w:val="1009"/>
        </w:numPr>
        <w:pStyle w:val="Compact"/>
      </w:pPr>
      <w:r>
        <w:t xml:space="preserve">Argentina gasta</w:t>
      </w:r>
      <w:r>
        <w:t xml:space="preserve"> </w:t>
      </w:r>
      <w:r>
        <w:rPr>
          <w:b/>
        </w:rPr>
        <w:t xml:space="preserve">USD 64.000 millones/año</w:t>
      </w:r>
      <w:r>
        <w:t xml:space="preserve"> </w:t>
      </w:r>
      <w:r>
        <w:t xml:space="preserve">en salud (10% del PBI)</w:t>
      </w:r>
    </w:p>
    <w:p>
      <w:pPr>
        <w:numPr>
          <w:ilvl w:val="0"/>
          <w:numId w:val="1009"/>
        </w:numPr>
        <w:pStyle w:val="Compact"/>
      </w:pPr>
      <w:r>
        <w:t xml:space="preserve">Este plan cuesta USD 912 millones/año =</w:t>
      </w:r>
      <w:r>
        <w:t xml:space="preserve"> </w:t>
      </w:r>
      <w:r>
        <w:rPr>
          <w:b/>
        </w:rPr>
        <w:t xml:space="preserve">1,4% del gasto actual en salud</w:t>
      </w:r>
    </w:p>
    <w:p>
      <w:pPr>
        <w:numPr>
          <w:ilvl w:val="0"/>
          <w:numId w:val="1009"/>
        </w:numPr>
        <w:pStyle w:val="Compact"/>
      </w:pPr>
      <w:r>
        <w:t xml:space="preserve">Es una reasignación, no un gasto nuevo: cada peso en prevención ahorra 4-10 en tratamiento</w:t>
      </w:r>
    </w:p>
    <w:p>
      <w:pPr>
        <w:numPr>
          <w:ilvl w:val="0"/>
          <w:numId w:val="1009"/>
        </w:numPr>
        <w:pStyle w:val="Compact"/>
      </w:pPr>
      <w:r>
        <w:t xml:space="preserve">Costa Rica logra mejores resultados de salud que Argentina gastando la mitad. La diferencia no es dinero — es cómo se gasta.</w:t>
      </w:r>
    </w:p>
    <w:p>
      <w:pPr>
        <w:numPr>
          <w:ilvl w:val="0"/>
          <w:numId w:val="1009"/>
        </w:numPr>
        <w:pStyle w:val="Compact"/>
      </w:pPr>
      <w:r>
        <w:t xml:space="preserve">Si solo una de cada diez internaciones evitables se previene con estas políticas, el ahorro supera la inversión</w:t>
      </w:r>
    </w:p>
    <w:p>
      <w:pPr>
        <w:pStyle w:val="FirstParagraph"/>
      </w:pPr>
      <w:r>
        <w:rPr>
          <w:b/>
        </w:rPr>
        <w:t xml:space="preserve">El sistema de salud argentino no necesita más plata. Necesita que la plata vaya a donde importa: prevenir antes que curar, llegar a quien más lo necesita, y usar la tecnología para igualar.</w:t>
      </w:r>
    </w:p>
    <w:p>
      <w:r>
        <w:pict>
          <v:rect style="width:0;height:1.5pt" o:hralign="center" o:hrstd="t" o:hr="t"/>
        </w:pict>
      </w:r>
    </w:p>
    <w:p>
      <w:pPr>
        <w:pStyle w:val="FirstParagraph"/>
      </w:pPr>
      <w:r>
        <w:rPr>
          <w:i/>
        </w:rPr>
        <w:t xml:space="preserve">Documento elaborado: Febrero 2026</w:t>
      </w:r>
      <w:r>
        <w:t xml:space="preserve"> </w:t>
      </w:r>
      <w:r>
        <w:rPr>
          <w:i/>
        </w:rPr>
        <w:t xml:space="preserve">Proyecto: Argentina Próspera 2027-2031</w:t>
      </w:r>
      <w:r>
        <w:t xml:space="preserve"> </w:t>
      </w:r>
      <w:r>
        <w:rPr>
          <w:i/>
        </w:rPr>
        <w:t xml:space="preserve">Fuentes: INDEC, OMS, OPS, Ministerio de Salud, CONICET, BID, Banco Mundial, Lancet, PLOS, RENABAP, INCUCAI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2026-02-23T18:27:39Z</dcterms:created>
  <dcterms:modified xsi:type="dcterms:W3CDTF">2026-02-23T18:27:39Z</dcterms:modified>
</cp:coreProperties>
</file>

<file path=docProps/custom.xml><?xml version="1.0" encoding="utf-8"?>
<Properties xmlns="http://schemas.openxmlformats.org/officeDocument/2006/custom-properties" xmlns:vt="http://schemas.openxmlformats.org/officeDocument/2006/docPropsVTypes"/>
</file>