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b42fb60fc8b9624484b80f3db9de2393096db1"/>
      <w:r>
        <w:t xml:space="preserve">Política 6: Centro Argentino de Investigación en Terapias Médicas + Inteligencia Artificial (CAITMA)</w:t>
      </w:r>
      <w:bookmarkEnd w:id="20"/>
    </w:p>
    <w:p>
      <w:pPr>
        <w:pStyle w:val="Heading2"/>
      </w:pPr>
      <w:bookmarkStart w:id="21" w:name="X44d2e38363c5b381aa6411aa5be9415d96c78c7"/>
      <w:r>
        <w:t xml:space="preserve">Addendum al Documento 04 — Salud para Todos</w:t>
      </w:r>
      <w:bookmarkEnd w:id="21"/>
    </w:p>
    <w:p>
      <w:pPr>
        <w:pStyle w:val="Heading2"/>
      </w:pPr>
      <w:bookmarkStart w:id="22" w:name="argentina-próspera-2027-2031"/>
      <w:r>
        <w:t xml:space="preserve">Argentina Próspera 2027-2031</w:t>
      </w:r>
      <w:bookmarkEnd w:id="22"/>
    </w:p>
    <w:p>
      <w:r>
        <w:pict>
          <v:rect style="width:0;height:1.5pt" o:hralign="center" o:hrstd="t" o:hr="t"/>
        </w:pict>
      </w:r>
    </w:p>
    <w:p>
      <w:pPr>
        <w:pStyle w:val="Heading2"/>
      </w:pPr>
      <w:bookmarkStart w:id="23" w:name="Xfe399932f0d6e49766f7591ab27b9efbbb7cf20"/>
      <w:r>
        <w:t xml:space="preserve">El sueño: que Argentina deje de mirar cómo otros curan</w:t>
      </w:r>
      <w:bookmarkEnd w:id="23"/>
    </w:p>
    <w:p>
      <w:pPr>
        <w:pStyle w:val="FirstParagraph"/>
      </w:pPr>
      <w:r>
        <w:t xml:space="preserve">Hay algo profundamente triste en el estado actual de la medicina. Millones de personas en el mundo mueren o sufren por enfermedades que la ciencia todavía no puede curar: cáncer, Alzheimer, ELA, lupus, esquizofrenia, hipertensión crónica, autismo sin herramientas adecuadas. Y los avances que existen nacen casi exclusivamente en laboratorios de cinco o seis países ricos.</w:t>
      </w:r>
    </w:p>
    <w:p>
      <w:pPr>
        <w:pStyle w:val="BodyText"/>
      </w:pPr>
      <w:r>
        <w:t xml:space="preserve">Argentina tiene tres premios Nobel en ciencias. Tiene investigadores brillantes. Tiene una tradición de hacer ciencia de primer nivel con recursos limitados — Houssay lo demostró en los años ’20, Leloir lo hizo durante 40 años, Milstein revolucionó la inmunología moderna. Pero hoy, el país está desmantelando su sistema científico en lugar de potenciarlo.</w:t>
      </w:r>
    </w:p>
    <w:p>
      <w:pPr>
        <w:pStyle w:val="BodyText"/>
      </w:pPr>
      <w:r>
        <w:rPr>
          <w:b/>
        </w:rPr>
        <w:t xml:space="preserve">Esta política propone algo audaz pero viable: crear un centro de investigación de frontera que combine inteligencia artificial con investigación médica, enfocado en buscar avances reales contra las enfermedades que más sufrimiento causan.</w:t>
      </w:r>
      <w:r>
        <w:t xml:space="preserve"> </w:t>
      </w:r>
      <w:r>
        <w:t xml:space="preserve">No como promesa vacía, sino como inversión calculada, con socios internacionales, con ventajas competitivas genuinas, y con un modelo financiero que cierra.</w:t>
      </w:r>
    </w:p>
    <w:p>
      <w:pPr>
        <w:pStyle w:val="BodyText"/>
      </w:pPr>
      <w:r>
        <w:t xml:space="preserve">¿Por qué ahora? Porque la inteligencia artificial está transformando la investigación médica a una velocidad sin precedentes. En 2021, Insilico Medicine diseñó un fármaco completamente con IA en 18 meses — un proceso que tradicionalmente toma 4-5 años. El costo: USD 2,6 millones en lugar de los USD 500+ millones habituales. DeepMind predijo la estructura de 200 millones de proteínas con AlphaFold y ganó el Nobel. Moderna usa IA para diseñar vacunas personalizadas contra cáncer que ya están en ensayos clínicos avanzados.</w:t>
      </w:r>
    </w:p>
    <w:p>
      <w:pPr>
        <w:pStyle w:val="BodyText"/>
      </w:pPr>
      <w:r>
        <w:t xml:space="preserve">La ventana de oportunidad está abierta. El país que se posicione ahora como hub de investigación médica + IA en América Latina va a liderar durante décadas. Argentina puede ser ese país.</w:t>
      </w:r>
    </w:p>
    <w:p>
      <w:r>
        <w:pict>
          <v:rect style="width:0;height:1.5pt" o:hralign="center" o:hrstd="t" o:hr="t"/>
        </w:pict>
      </w:r>
    </w:p>
    <w:p>
      <w:pPr>
        <w:pStyle w:val="Heading2"/>
      </w:pPr>
      <w:bookmarkStart w:id="24" w:name="Xf2fbe1adf114b019e0043316539a372a72bd9e3"/>
      <w:r>
        <w:t xml:space="preserve">Lo que está pasando en el mundo: una revolución silenciosa</w:t>
      </w:r>
      <w:bookmarkEnd w:id="24"/>
    </w:p>
    <w:p>
      <w:pPr>
        <w:pStyle w:val="Heading3"/>
      </w:pPr>
      <w:bookmarkStart w:id="25" w:name="X7237f46a9457ba83c04d63bf771b7f01a3acbcf"/>
      <w:r>
        <w:t xml:space="preserve">Descubrimiento de fármacos acelerado por IA</w:t>
      </w:r>
      <w:bookmarkEnd w:id="25"/>
    </w:p>
    <w:p>
      <w:pPr>
        <w:pStyle w:val="FirstParagraph"/>
      </w:pPr>
      <w:r>
        <w:t xml:space="preserve">La inteligencia artificial está comprimiendo dramáticamente los tiempos y costos de investigación médica:</w:t>
      </w:r>
    </w:p>
    <w:tbl>
      <w:tblPr>
        <w:tblStyle w:val="Table"/>
        <w:tblW w:type="pct" w:w="5000.0"/>
        <w:tblLook w:firstRow="1"/>
      </w:tblPr>
      <w:tblGrid>
        <w:gridCol w:w="1516"/>
        <w:gridCol w:w="3201"/>
        <w:gridCol w:w="1348"/>
        <w:gridCol w:w="1853"/>
      </w:tblGrid>
      <w:tr>
        <w:trPr>
          <w:cnfStyle w:firstRow="1"/>
        </w:trPr>
        <w:tc>
          <w:tcPr>
            <w:tcBorders>
              <w:bottom w:val="single"/>
            </w:tcBorders>
            <w:vAlign w:val="bottom"/>
          </w:tcPr>
          <w:p>
            <w:pPr>
              <w:pStyle w:val="Compact"/>
              <w:jc w:val="left"/>
            </w:pPr>
            <w:r>
              <w:t xml:space="preserve">Métrica</w:t>
            </w:r>
          </w:p>
        </w:tc>
        <w:tc>
          <w:tcPr>
            <w:tcBorders>
              <w:bottom w:val="single"/>
            </w:tcBorders>
            <w:vAlign w:val="bottom"/>
          </w:tcPr>
          <w:p>
            <w:pPr>
              <w:pStyle w:val="Compact"/>
              <w:jc w:val="left"/>
            </w:pPr>
            <w:r>
              <w:t xml:space="preserve">Método tradicional</w:t>
            </w:r>
          </w:p>
        </w:tc>
        <w:tc>
          <w:tcPr>
            <w:tcBorders>
              <w:bottom w:val="single"/>
            </w:tcBorders>
            <w:vAlign w:val="bottom"/>
          </w:tcPr>
          <w:p>
            <w:pPr>
              <w:pStyle w:val="Compact"/>
              <w:jc w:val="left"/>
            </w:pPr>
            <w:r>
              <w:t xml:space="preserve">Con IA</w:t>
            </w:r>
          </w:p>
        </w:tc>
        <w:tc>
          <w:tcPr>
            <w:tcBorders>
              <w:bottom w:val="single"/>
            </w:tcBorders>
            <w:vAlign w:val="bottom"/>
          </w:tcPr>
          <w:p>
            <w:pPr>
              <w:pStyle w:val="Compact"/>
              <w:jc w:val="left"/>
            </w:pPr>
            <w:r>
              <w:t xml:space="preserve">Reducción</w:t>
            </w:r>
          </w:p>
        </w:tc>
      </w:tr>
      <w:tr>
        <w:tc>
          <w:p>
            <w:pPr>
              <w:pStyle w:val="Compact"/>
              <w:jc w:val="left"/>
            </w:pPr>
            <w:r>
              <w:t xml:space="preserve">De identificación de objetivo a candidato preclínico</w:t>
            </w:r>
          </w:p>
        </w:tc>
        <w:tc>
          <w:p>
            <w:pPr>
              <w:pStyle w:val="Compact"/>
              <w:jc w:val="left"/>
            </w:pPr>
            <w:r>
              <w:t xml:space="preserve">3-5 años</w:t>
            </w:r>
          </w:p>
        </w:tc>
        <w:tc>
          <w:p>
            <w:pPr>
              <w:pStyle w:val="Compact"/>
              <w:jc w:val="left"/>
            </w:pPr>
            <w:r>
              <w:t xml:space="preserve">13-18 meses</w:t>
            </w:r>
          </w:p>
        </w:tc>
        <w:tc>
          <w:p>
            <w:pPr>
              <w:pStyle w:val="Compact"/>
              <w:jc w:val="left"/>
            </w:pPr>
            <w:r>
              <w:t xml:space="preserve">70-75%</w:t>
            </w:r>
          </w:p>
        </w:tc>
      </w:tr>
      <w:tr>
        <w:tc>
          <w:p>
            <w:pPr>
              <w:pStyle w:val="Compact"/>
              <w:jc w:val="left"/>
            </w:pPr>
            <w:r>
              <w:t xml:space="preserve">Costo hasta candidato preclínico</w:t>
            </w:r>
          </w:p>
        </w:tc>
        <w:tc>
          <w:p>
            <w:pPr>
              <w:pStyle w:val="Compact"/>
              <w:jc w:val="left"/>
            </w:pPr>
            <w:r>
              <w:t xml:space="preserve">USD 500M+</w:t>
            </w:r>
          </w:p>
        </w:tc>
        <w:tc>
          <w:p>
            <w:pPr>
              <w:pStyle w:val="Compact"/>
              <w:jc w:val="left"/>
            </w:pPr>
            <w:r>
              <w:t xml:space="preserve">USD 2,6M</w:t>
            </w:r>
          </w:p>
        </w:tc>
        <w:tc>
          <w:p>
            <w:pPr>
              <w:pStyle w:val="Compact"/>
              <w:jc w:val="left"/>
            </w:pPr>
            <w:r>
              <w:t xml:space="preserve">99%</w:t>
            </w:r>
          </w:p>
        </w:tc>
      </w:tr>
      <w:tr>
        <w:tc>
          <w:p>
            <w:pPr>
              <w:pStyle w:val="Compact"/>
              <w:jc w:val="left"/>
            </w:pPr>
            <w:r>
              <w:t xml:space="preserve">Optimización de compuestos</w:t>
            </w:r>
          </w:p>
        </w:tc>
        <w:tc>
          <w:p>
            <w:pPr>
              <w:pStyle w:val="Compact"/>
              <w:jc w:val="left"/>
            </w:pPr>
            <w:r>
              <w:t xml:space="preserve">2-4 años</w:t>
            </w:r>
          </w:p>
        </w:tc>
        <w:tc>
          <w:p>
            <w:pPr>
              <w:pStyle w:val="Compact"/>
              <w:jc w:val="left"/>
            </w:pPr>
            <w:r>
              <w:t xml:space="preserve">1-2 años</w:t>
            </w:r>
          </w:p>
        </w:tc>
        <w:tc>
          <w:p>
            <w:pPr>
              <w:pStyle w:val="Compact"/>
              <w:jc w:val="left"/>
            </w:pPr>
            <w:r>
              <w:t xml:space="preserve">50%</w:t>
            </w:r>
          </w:p>
        </w:tc>
      </w:tr>
    </w:tbl>
    <w:p>
      <w:pPr>
        <w:pStyle w:val="BodyText"/>
      </w:pPr>
      <w:r>
        <w:rPr>
          <w:b/>
        </w:rPr>
        <w:t xml:space="preserve">Isomorphic Labs</w:t>
      </w:r>
      <w:r>
        <w:t xml:space="preserve"> </w:t>
      </w:r>
      <w:r>
        <w:t xml:space="preserve">(spin-off de DeepMind) recibió USD 600 millones en financiamiento en 2025, tiene alianzas con Eli Lilly y Novartis por miles de millones, y planea llevar sus primeros fármacos diseñados por IA a ensayos humanos en 2025-2026.</w:t>
      </w:r>
    </w:p>
    <w:p>
      <w:pPr>
        <w:pStyle w:val="BodyText"/>
      </w:pPr>
      <w:r>
        <w:rPr>
          <w:b/>
        </w:rPr>
        <w:t xml:space="preserve">Recursion Pharmaceuticals</w:t>
      </w:r>
      <w:r>
        <w:t xml:space="preserve"> </w:t>
      </w:r>
      <w:r>
        <w:t xml:space="preserve">tiene 65 petabytes de datos biológicos — uno de los mayores datasets del mundo — y opera BioHive-2, la supercomputadora más potente de la industria farmacéutica (504 GPUs NVIDIA H100).</w:t>
      </w:r>
    </w:p>
    <w:p>
      <w:pPr>
        <w:pStyle w:val="BodyText"/>
      </w:pPr>
      <w:r>
        <w:rPr>
          <w:b/>
        </w:rPr>
        <w:t xml:space="preserve">Rentosertib</w:t>
      </w:r>
      <w:r>
        <w:t xml:space="preserve">, el primer fármaco completamente diseñado por IA generativa, completó ensayos Phase 2a con resultados positivos para fibrosis pulmonar. Nombre genérico ya aprobado. Camino regulatorio en marcha.</w:t>
      </w:r>
    </w:p>
    <w:p>
      <w:pPr>
        <w:pStyle w:val="Heading3"/>
      </w:pPr>
      <w:bookmarkStart w:id="26" w:name="X4c1bc744469a4fc9554183e47a50c3e3f32cefc"/>
      <w:r>
        <w:t xml:space="preserve">Gemelos digitales: el futuro de los ensayos clínicos</w:t>
      </w:r>
      <w:bookmarkEnd w:id="26"/>
    </w:p>
    <w:p>
      <w:pPr>
        <w:pStyle w:val="FirstParagraph"/>
      </w:pPr>
      <w:r>
        <w:t xml:space="preserve">Europa lanzó la iniciativa</w:t>
      </w:r>
      <w:r>
        <w:t xml:space="preserve"> </w:t>
      </w:r>
      <w:r>
        <w:rPr>
          <w:b/>
        </w:rPr>
        <w:t xml:space="preserve">Virtual Human Twin</w:t>
      </w:r>
      <w:r>
        <w:t xml:space="preserve">, que busca crear réplicas virtuales de la fisiología humana para simular tratamientos sin necesidad de tantas pruebas en animales o personas. La FDA ya colaboró con Dassault Systèmes para establecer estándares de ensayos clínicos</w:t>
      </w:r>
      <w:r>
        <w:t xml:space="preserve"> </w:t>
      </w:r>
      <w:r>
        <w:t xml:space="preserve">“</w:t>
      </w:r>
      <w:r>
        <w:t xml:space="preserve">in silico</w:t>
      </w:r>
      <w:r>
        <w:t xml:space="preserve">”</w:t>
      </w:r>
      <w:r>
        <w:t xml:space="preserve"> </w:t>
      </w:r>
      <w:r>
        <w:t xml:space="preserve">(simulados por computadora).</w:t>
      </w:r>
    </w:p>
    <w:p>
      <w:pPr>
        <w:pStyle w:val="BodyText"/>
      </w:pPr>
      <w:r>
        <w:t xml:space="preserve">El impacto potencial es enorme: si podés simular cómo un fármaco va a actuar en el cuerpo de un paciente específico antes de dárselo, reducís riesgos, acelerás aprobaciones y bajás costos drásticamente.</w:t>
      </w:r>
    </w:p>
    <w:p>
      <w:pPr>
        <w:pStyle w:val="Heading3"/>
      </w:pPr>
      <w:bookmarkStart w:id="27" w:name="X590575e1b4c4a28e1f10bfa1370329d7153e734"/>
      <w:r>
        <w:t xml:space="preserve">Avances por enfermedad: dónde estamos realmente</w:t>
      </w:r>
      <w:bookmarkEnd w:id="27"/>
    </w:p>
    <w:p>
      <w:pPr>
        <w:pStyle w:val="FirstParagraph"/>
      </w:pPr>
      <w:r>
        <w:rPr>
          <w:b/>
        </w:rPr>
        <w:t xml:space="preserve">Cáncer:</w:t>
      </w:r>
      <w:r>
        <w:t xml:space="preserve"> </w:t>
      </w:r>
      <w:r>
        <w:t xml:space="preserve">- Las vacunas de mRNA personalizadas (Moderna + Merck, BioNTech) están en Phase III. La vacuna mRNA-4157 para melanoma muestra 3 años de supervivencia libre de recurrencia superior al tratamiento estándar. Aprobaciones esperadas para 2026-2027.</w:t>
      </w:r>
      <w:r>
        <w:t xml:space="preserve"> </w:t>
      </w:r>
      <w:r>
        <w:t xml:space="preserve">- La biopsia líquida con IA puede detectar células cancerosas en sangre en 10 minutos sin intervención humana.</w:t>
      </w:r>
      <w:r>
        <w:t xml:space="preserve"> </w:t>
      </w:r>
      <w:r>
        <w:t xml:space="preserve">- IA optimiza el diseño de terapias CAR-T: el Hospital St. Jude evaluó ~1.000 construcciones en días (vs. años en laboratorio) y logró que 4 de 5 ratones quedaran libres de tumor.</w:t>
      </w:r>
    </w:p>
    <w:p>
      <w:pPr>
        <w:pStyle w:val="BodyText"/>
      </w:pPr>
      <w:r>
        <w:rPr>
          <w:b/>
        </w:rPr>
        <w:t xml:space="preserve">Alzheimer:</w:t>
      </w:r>
      <w:r>
        <w:t xml:space="preserve"> </w:t>
      </w:r>
      <w:r>
        <w:t xml:space="preserve">- Lecanemab (anti-amiloide) fue aprobado en 51 países. Datos de 4 años muestran que puede retrasar la progresión de deterioro cognitivo leve a Alzheimer moderado hasta 8,3 años en pacientes que inician temprano.</w:t>
      </w:r>
      <w:r>
        <w:t xml:space="preserve"> </w:t>
      </w:r>
      <w:r>
        <w:t xml:space="preserve">- Aún lejos de una cura, pero el uso de IA para detección temprana mediante biomarcadores digitales (análisis de voz, marcha, datos clínicos) está acelerando la identificación de personas en riesgo.</w:t>
      </w:r>
    </w:p>
    <w:p>
      <w:pPr>
        <w:pStyle w:val="BodyText"/>
      </w:pPr>
      <w:r>
        <w:rPr>
          <w:b/>
        </w:rPr>
        <w:t xml:space="preserve">ELA:</w:t>
      </w:r>
      <w:r>
        <w:t xml:space="preserve"> </w:t>
      </w:r>
      <w:r>
        <w:t xml:space="preserve">- Verge Genomics desarrolló VRG50635 con IA en 4 años (vs. 10+ tradicional), aunque el fármaco no superó los ensayos Phase 1. La lección: la IA acelera el descubrimiento, pero no garantiza el éxito clínico. Lo que sí hace es permitir más intentos en menos tiempo.</w:t>
      </w:r>
      <w:r>
        <w:t xml:space="preserve"> </w:t>
      </w:r>
      <w:r>
        <w:t xml:space="preserve">- Los biomarcadores digitales (movilidad, respiración, habla) medidos por IA pueden detectar progresión de la enfermedad en apenas 8 semanas.</w:t>
      </w:r>
    </w:p>
    <w:p>
      <w:pPr>
        <w:pStyle w:val="BodyText"/>
      </w:pPr>
      <w:r>
        <w:rPr>
          <w:b/>
        </w:rPr>
        <w:t xml:space="preserve">Autismo:</w:t>
      </w:r>
      <w:r>
        <w:t xml:space="preserve"> </w:t>
      </w:r>
      <w:r>
        <w:t xml:space="preserve">- EarliPoint: primer instrumento autorizado por la FDA para evaluación objetiva de autismo en niños desde los 16 meses, usando análisis de atención visual con IA.</w:t>
      </w:r>
      <w:r>
        <w:t xml:space="preserve"> </w:t>
      </w:r>
      <w:r>
        <w:t xml:space="preserve">- Análisis automático de videos caseros (3 tareas de menos de 1 minuto) permite screening con resultados entre 0,65 y 0,997 de precisión según el método.</w:t>
      </w:r>
      <w:r>
        <w:t xml:space="preserve"> </w:t>
      </w:r>
      <w:r>
        <w:t xml:space="preserve">- El enfoque no es</w:t>
      </w:r>
      <w:r>
        <w:t xml:space="preserve"> </w:t>
      </w:r>
      <w:r>
        <w:t xml:space="preserve">“</w:t>
      </w:r>
      <w:r>
        <w:t xml:space="preserve">curar</w:t>
      </w:r>
      <w:r>
        <w:t xml:space="preserve">”</w:t>
      </w:r>
      <w:r>
        <w:t xml:space="preserve"> </w:t>
      </w:r>
      <w:r>
        <w:t xml:space="preserve">sino comprender mejor la neurodivergencia, detectarla temprano y dar herramientas para una vida plena.</w:t>
      </w:r>
    </w:p>
    <w:p>
      <w:pPr>
        <w:pStyle w:val="BodyText"/>
      </w:pPr>
      <w:r>
        <w:rPr>
          <w:b/>
        </w:rPr>
        <w:t xml:space="preserve">Enfermedades autoinmunes (lupus, esclerosis múltiple):</w:t>
      </w:r>
      <w:r>
        <w:t xml:space="preserve"> </w:t>
      </w:r>
      <w:r>
        <w:t xml:space="preserve">- El mercado de reposicionamiento de fármacos por IA (encontrar nuevos usos para medicamentos existentes) pasará de USD 1.260 millones en 2025 a USD 8.120 millones en 2035.</w:t>
      </w:r>
      <w:r>
        <w:t xml:space="preserve"> </w:t>
      </w:r>
      <w:r>
        <w:t xml:space="preserve">- IA permite analizar datos ómicos masivos (transcriptómica, proteómica) para identificar nuevos blancos terapéuticos.</w:t>
      </w:r>
    </w:p>
    <w:p>
      <w:pPr>
        <w:pStyle w:val="BodyText"/>
      </w:pPr>
      <w:r>
        <w:rPr>
          <w:b/>
        </w:rPr>
        <w:t xml:space="preserve">Esquizofrenia y salud mental:</w:t>
      </w:r>
      <w:r>
        <w:t xml:space="preserve"> </w:t>
      </w:r>
      <w:r>
        <w:t xml:space="preserve">- IA puede predecir episodios psicóticos analizando patrones de uso del sistema de salud (visitas a emergencias, hospitalizaciones).</w:t>
      </w:r>
      <w:r>
        <w:t xml:space="preserve"> </w:t>
      </w:r>
      <w:r>
        <w:t xml:space="preserve">- El fenotipaje digital — datos comportamentales en tiempo real desde smartphones — permite monitoreo continuo de estados mentales.</w:t>
      </w:r>
    </w:p>
    <w:p>
      <w:pPr>
        <w:pStyle w:val="BodyText"/>
      </w:pPr>
      <w:r>
        <w:rPr>
          <w:b/>
        </w:rPr>
        <w:t xml:space="preserve">Enfermedades cardiovasculares (hipertensión):</w:t>
      </w:r>
      <w:r>
        <w:t xml:space="preserve"> </w:t>
      </w:r>
      <w:r>
        <w:t xml:space="preserve">- Modelos de IA predicen eventos cardíacos con 20+ años de anticipación usando scans oculares + datos genómicos + historias clínicas.</w:t>
      </w:r>
      <w:r>
        <w:t xml:space="preserve"> </w:t>
      </w:r>
      <w:r>
        <w:t xml:space="preserve">- Wearables + IA permiten monitoreo continuo, pero la validación clínica robusta todavía está en desarrollo.</w:t>
      </w:r>
    </w:p>
    <w:p>
      <w:r>
        <w:pict>
          <v:rect style="width:0;height:1.5pt" o:hralign="center" o:hrstd="t" o:hr="t"/>
        </w:pict>
      </w:r>
    </w:p>
    <w:p>
      <w:pPr>
        <w:pStyle w:val="Heading2"/>
      </w:pPr>
      <w:bookmarkStart w:id="28" w:name="Xacbabe9cd4c0610dc8852b8de8fa66aa241b7ca"/>
      <w:r>
        <w:t xml:space="preserve">Cómo lo hacen otros países (y cuánto les cuesta)</w:t>
      </w:r>
      <w:bookmarkEnd w:id="28"/>
    </w:p>
    <w:tbl>
      <w:tblPr>
        <w:tblStyle w:val="Table"/>
        <w:tblW w:type="pct" w:w="5000.0"/>
        <w:tblLook w:firstRow="1"/>
      </w:tblPr>
      <w:tblGrid>
        <w:gridCol w:w="990"/>
        <w:gridCol w:w="1650"/>
        <w:gridCol w:w="1815"/>
        <w:gridCol w:w="1485"/>
        <w:gridCol w:w="1980"/>
      </w:tblGrid>
      <w:tr>
        <w:trPr>
          <w:cnfStyle w:firstRow="1"/>
        </w:trPr>
        <w:tc>
          <w:tcPr>
            <w:tcBorders>
              <w:bottom w:val="single"/>
            </w:tcBorders>
            <w:vAlign w:val="bottom"/>
          </w:tcPr>
          <w:p>
            <w:pPr>
              <w:pStyle w:val="Compact"/>
              <w:jc w:val="left"/>
            </w:pPr>
            <w:r>
              <w:t xml:space="preserve">País</w:t>
            </w:r>
          </w:p>
        </w:tc>
        <w:tc>
          <w:tcPr>
            <w:tcBorders>
              <w:bottom w:val="single"/>
            </w:tcBorders>
            <w:vAlign w:val="bottom"/>
          </w:tcPr>
          <w:p>
            <w:pPr>
              <w:pStyle w:val="Compact"/>
              <w:jc w:val="left"/>
            </w:pPr>
            <w:r>
              <w:t xml:space="preserve">Programa</w:t>
            </w:r>
          </w:p>
        </w:tc>
        <w:tc>
          <w:tcPr>
            <w:tcBorders>
              <w:bottom w:val="single"/>
            </w:tcBorders>
            <w:vAlign w:val="bottom"/>
          </w:tcPr>
          <w:p>
            <w:pPr>
              <w:pStyle w:val="Compact"/>
              <w:jc w:val="left"/>
            </w:pPr>
            <w:r>
              <w:t xml:space="preserve">Inversión</w:t>
            </w:r>
          </w:p>
        </w:tc>
        <w:tc>
          <w:tcPr>
            <w:tcBorders>
              <w:bottom w:val="single"/>
            </w:tcBorders>
            <w:vAlign w:val="bottom"/>
          </w:tcPr>
          <w:p>
            <w:pPr>
              <w:pStyle w:val="Compact"/>
              <w:jc w:val="left"/>
            </w:pPr>
            <w:r>
              <w:t xml:space="preserve">Enfoque</w:t>
            </w:r>
          </w:p>
        </w:tc>
        <w:tc>
          <w:tcPr>
            <w:tcBorders>
              <w:bottom w:val="single"/>
            </w:tcBorders>
            <w:vAlign w:val="bottom"/>
          </w:tcPr>
          <w:p>
            <w:pPr>
              <w:pStyle w:val="Compact"/>
              <w:jc w:val="left"/>
            </w:pPr>
            <w:r>
              <w:t xml:space="preserve">Resultados</w:t>
            </w:r>
          </w:p>
        </w:tc>
      </w:tr>
      <w:tr>
        <w:tc>
          <w:p>
            <w:pPr>
              <w:pStyle w:val="Compact"/>
              <w:jc w:val="left"/>
            </w:pPr>
            <w:r>
              <w:t xml:space="preserve">Israel</w:t>
            </w:r>
          </w:p>
        </w:tc>
        <w:tc>
          <w:p>
            <w:pPr>
              <w:pStyle w:val="Compact"/>
              <w:jc w:val="left"/>
            </w:pPr>
            <w:r>
              <w:t xml:space="preserve">Precision Medicine Partnership + Psifas</w:t>
            </w:r>
          </w:p>
        </w:tc>
        <w:tc>
          <w:p>
            <w:pPr>
              <w:pStyle w:val="Compact"/>
              <w:jc w:val="left"/>
            </w:pPr>
            <w:r>
              <w:t xml:space="preserve">USD 125M total</w:t>
            </w:r>
          </w:p>
        </w:tc>
        <w:tc>
          <w:p>
            <w:pPr>
              <w:pStyle w:val="Compact"/>
              <w:jc w:val="left"/>
            </w:pPr>
            <w:r>
              <w:t xml:space="preserve">Genómica poblacional, medicina de precisión</w:t>
            </w:r>
          </w:p>
        </w:tc>
        <w:tc>
          <w:p>
            <w:pPr>
              <w:pStyle w:val="Compact"/>
              <w:jc w:val="left"/>
            </w:pPr>
            <w:r>
              <w:t xml:space="preserve">50.000 muestras genómicas, tratamientos personalizados</w:t>
            </w:r>
          </w:p>
        </w:tc>
      </w:tr>
      <w:tr>
        <w:tc>
          <w:p>
            <w:pPr>
              <w:pStyle w:val="Compact"/>
              <w:jc w:val="left"/>
            </w:pPr>
            <w:r>
              <w:t xml:space="preserve">Singapur</w:t>
            </w:r>
          </w:p>
        </w:tc>
        <w:tc>
          <w:p>
            <w:pPr>
              <w:pStyle w:val="Compact"/>
              <w:jc w:val="left"/>
            </w:pPr>
            <w:r>
              <w:t xml:space="preserve">National Precision Medicine (3 fases)</w:t>
            </w:r>
          </w:p>
        </w:tc>
        <w:tc>
          <w:p>
            <w:pPr>
              <w:pStyle w:val="Compact"/>
              <w:jc w:val="left"/>
            </w:pPr>
            <w:r>
              <w:t xml:space="preserve">Continuo desde 2016, grants de S$1,5M/proyecto</w:t>
            </w:r>
          </w:p>
        </w:tc>
        <w:tc>
          <w:p>
            <w:pPr>
              <w:pStyle w:val="Compact"/>
              <w:jc w:val="left"/>
            </w:pPr>
            <w:r>
              <w:t xml:space="preserve">Genómica asiática, traducción clínica</w:t>
            </w:r>
          </w:p>
        </w:tc>
        <w:tc>
          <w:p>
            <w:pPr>
              <w:pStyle w:val="Compact"/>
              <w:jc w:val="left"/>
            </w:pPr>
            <w:r>
              <w:t xml:space="preserve">Referencia en medicina de precisión para Asia</w:t>
            </w:r>
          </w:p>
        </w:tc>
      </w:tr>
      <w:tr>
        <w:tc>
          <w:p>
            <w:pPr>
              <w:pStyle w:val="Compact"/>
              <w:jc w:val="left"/>
            </w:pPr>
            <w:r>
              <w:t xml:space="preserve">Estonia</w:t>
            </w:r>
          </w:p>
        </w:tc>
        <w:tc>
          <w:p>
            <w:pPr>
              <w:pStyle w:val="Compact"/>
              <w:jc w:val="left"/>
            </w:pPr>
            <w:r>
              <w:t xml:space="preserve">Estonian Biobank</w:t>
            </w:r>
          </w:p>
        </w:tc>
        <w:tc>
          <w:p>
            <w:pPr>
              <w:pStyle w:val="Compact"/>
              <w:jc w:val="left"/>
            </w:pPr>
            <w:r>
              <w:t xml:space="preserve">Integrado en presupuesto público</w:t>
            </w:r>
          </w:p>
        </w:tc>
        <w:tc>
          <w:p>
            <w:pPr>
              <w:pStyle w:val="Compact"/>
              <w:jc w:val="left"/>
            </w:pPr>
            <w:r>
              <w:t xml:space="preserve">212.000+ muestras (&gt;20% población adulta)</w:t>
            </w:r>
          </w:p>
        </w:tc>
        <w:tc>
          <w:p>
            <w:pPr>
              <w:pStyle w:val="Compact"/>
              <w:jc w:val="left"/>
            </w:pPr>
            <w:r>
              <w:t xml:space="preserve">800+ publicaciones, servicio nacional de prevención</w:t>
            </w:r>
          </w:p>
        </w:tc>
      </w:tr>
      <w:tr>
        <w:tc>
          <w:p>
            <w:pPr>
              <w:pStyle w:val="Compact"/>
              <w:jc w:val="left"/>
            </w:pPr>
            <w:r>
              <w:t xml:space="preserve">Dinamarca</w:t>
            </w:r>
          </w:p>
        </w:tc>
        <w:tc>
          <w:p>
            <w:pPr>
              <w:pStyle w:val="Compact"/>
              <w:jc w:val="left"/>
            </w:pPr>
            <w:r>
              <w:t xml:space="preserve">Health Data Gateway</w:t>
            </w:r>
          </w:p>
        </w:tc>
        <w:tc>
          <w:p>
            <w:pPr>
              <w:pStyle w:val="Compact"/>
              <w:jc w:val="left"/>
            </w:pPr>
            <w:r>
              <w:t xml:space="preserve">USD 27M (Novo Nordisk Foundation)</w:t>
            </w:r>
          </w:p>
        </w:tc>
        <w:tc>
          <w:p>
            <w:pPr>
              <w:pStyle w:val="Compact"/>
              <w:jc w:val="left"/>
            </w:pPr>
            <w:r>
              <w:t xml:space="preserve">Datos nacionales de salud + AI</w:t>
            </w:r>
          </w:p>
        </w:tc>
        <w:tc>
          <w:p>
            <w:pPr>
              <w:pStyle w:val="Compact"/>
              <w:jc w:val="left"/>
            </w:pPr>
            <w:r>
              <w:t xml:space="preserve">Registros de cobertura poblacional completa, recetas digitales</w:t>
            </w:r>
          </w:p>
        </w:tc>
      </w:tr>
      <w:tr>
        <w:tc>
          <w:p>
            <w:pPr>
              <w:pStyle w:val="Compact"/>
              <w:jc w:val="left"/>
            </w:pPr>
            <w:r>
              <w:t xml:space="preserve">Ruanda</w:t>
            </w:r>
          </w:p>
        </w:tc>
        <w:tc>
          <w:p>
            <w:pPr>
              <w:pStyle w:val="Compact"/>
              <w:jc w:val="left"/>
            </w:pPr>
            <w:r>
              <w:t xml:space="preserve">Health Intelligence Center</w:t>
            </w:r>
          </w:p>
        </w:tc>
        <w:tc>
          <w:p>
            <w:pPr>
              <w:pStyle w:val="Compact"/>
              <w:jc w:val="left"/>
            </w:pPr>
            <w:r>
              <w:t xml:space="preserve">USD 50M (Gates/OpenAI propuesto)</w:t>
            </w:r>
          </w:p>
        </w:tc>
        <w:tc>
          <w:p>
            <w:pPr>
              <w:pStyle w:val="Compact"/>
              <w:jc w:val="left"/>
            </w:pPr>
            <w:r>
              <w:t xml:space="preserve">IA para trabajadores comunitarios, cadena de suministros</w:t>
            </w:r>
          </w:p>
        </w:tc>
        <w:tc>
          <w:p>
            <w:pPr>
              <w:pStyle w:val="Compact"/>
              <w:jc w:val="left"/>
            </w:pPr>
            <w:r>
              <w:t xml:space="preserve">IA en entornos de recursos limitados</w:t>
            </w:r>
          </w:p>
        </w:tc>
      </w:tr>
      <w:tr>
        <w:tc>
          <w:p>
            <w:pPr>
              <w:pStyle w:val="Compact"/>
              <w:jc w:val="left"/>
            </w:pPr>
            <w:r>
              <w:t xml:space="preserve">UK</w:t>
            </w:r>
          </w:p>
        </w:tc>
        <w:tc>
          <w:p>
            <w:pPr>
              <w:pStyle w:val="Compact"/>
              <w:jc w:val="left"/>
            </w:pPr>
            <w:r>
              <w:t xml:space="preserve">UK Biobank</w:t>
            </w:r>
          </w:p>
        </w:tc>
        <w:tc>
          <w:p>
            <w:pPr>
              <w:pStyle w:val="Compact"/>
              <w:jc w:val="left"/>
            </w:pPr>
            <w:r>
              <w:t xml:space="preserve">Integrado</w:t>
            </w:r>
          </w:p>
        </w:tc>
        <w:tc>
          <w:p>
            <w:pPr>
              <w:pStyle w:val="Compact"/>
              <w:jc w:val="left"/>
            </w:pPr>
            <w:r>
              <w:t xml:space="preserve">500.000+ participantes, imágenes + genómica + IA</w:t>
            </w:r>
          </w:p>
        </w:tc>
        <w:tc>
          <w:p>
            <w:pPr>
              <w:pStyle w:val="Compact"/>
              <w:jc w:val="left"/>
            </w:pPr>
            <w:r>
              <w:t xml:space="preserve">Modelo Delphi: examina &gt;1.000 enfermedades simultáneamente</w:t>
            </w:r>
          </w:p>
        </w:tc>
      </w:tr>
    </w:tbl>
    <w:p>
      <w:pPr>
        <w:pStyle w:val="BodyText"/>
      </w:pPr>
      <w:r>
        <w:rPr>
          <w:b/>
        </w:rPr>
        <w:t xml:space="preserve">Lección clave:</w:t>
      </w:r>
      <w:r>
        <w:t xml:space="preserve"> </w:t>
      </w:r>
      <w:r>
        <w:t xml:space="preserve">No todos empezaron con miles de millones. Estonia construyó un biobank de clase mundial como política pública integrada. Israel combinó gobierno + fundaciones privadas. Ruanda demostró que se puede hacer IA médica con recursos limitados si el enfoque es pragmático. La escala de inversión va de USD 25M a USD 70M para un programa nacional sólido.</w:t>
      </w:r>
    </w:p>
    <w:p>
      <w:r>
        <w:pict>
          <v:rect style="width:0;height:1.5pt" o:hralign="center" o:hrstd="t" o:hr="t"/>
        </w:pict>
      </w:r>
    </w:p>
    <w:p>
      <w:pPr>
        <w:pStyle w:val="Heading2"/>
      </w:pPr>
      <w:bookmarkStart w:id="29" w:name="X1521b9da516dc446e1e571a73c29e7d9d4460a8"/>
      <w:r>
        <w:t xml:space="preserve">Las fortalezas de Argentina que casi nadie ve</w:t>
      </w:r>
      <w:bookmarkEnd w:id="29"/>
    </w:p>
    <w:p>
      <w:pPr>
        <w:pStyle w:val="FirstParagraph"/>
      </w:pPr>
      <w:r>
        <w:t xml:space="preserve">La narrativa habitual dice que Argentina no puede competir en investigación de frontera. Esa narrativa ignora hechos concretos.</w:t>
      </w:r>
    </w:p>
    <w:p>
      <w:pPr>
        <w:pStyle w:val="BodyText"/>
      </w:pPr>
      <w:r>
        <w:rPr>
          <w:b/>
        </w:rPr>
        <w:t xml:space="preserve">Tradición científica de clase mundial.</w:t>
      </w:r>
      <w:r>
        <w:t xml:space="preserve"> </w:t>
      </w:r>
      <w:r>
        <w:t xml:space="preserve">Tres premios Nobel en ciencias (Houssay 1947, Leloir 1970, Milstein 1984). Leloir hizo investigación revolucionaria con presupuestos mínimos durante 40 años. Milstein — argentino de Bahía Blanca — inventó los anticuerpos monoclonales que hoy son pilar de la oncología moderna y generan miles de millones en valor cada año. La capacidad intelectual existe. Lo que falta es la inversión sostenida.</w:t>
      </w:r>
    </w:p>
    <w:p>
      <w:pPr>
        <w:pStyle w:val="BodyText"/>
      </w:pPr>
      <w:r>
        <w:rPr>
          <w:b/>
        </w:rPr>
        <w:t xml:space="preserve">Instituciones que sobreviven a todo.</w:t>
      </w:r>
      <w:r>
        <w:t xml:space="preserve"> </w:t>
      </w:r>
      <w:r>
        <w:t xml:space="preserve">El Instituto Malbrán tiene más de 100 años, una red de 94 laboratorios en todo el país, reconocimiento de la OMS, y capacidad en enfermedades infecciosas que pocos países de la región igualan. La Fundación Instituto Leloir lleva 75 años investigando bioquímica molecular. CONICET, aún en su peor crisis presupuestaria, mantiene 11.868 investigadores activos y 11.300 becarios.</w:t>
      </w:r>
    </w:p>
    <w:p>
      <w:pPr>
        <w:pStyle w:val="BodyText"/>
      </w:pPr>
      <w:r>
        <w:rPr>
          <w:b/>
        </w:rPr>
        <w:t xml:space="preserve">Ecosistema biotecnológico real.</w:t>
      </w:r>
      <w:r>
        <w:t xml:space="preserve"> </w:t>
      </w:r>
      <w:r>
        <w:t xml:space="preserve">Argentina tiene 65 empresas biotech enfocadas en salud. mAbxience produce biosimilares con instalaciones GMP aprobadas y fue seleccionada por la OPS para desarrollar vacunas mRNA — demostrando capacidad para tecnologías biológicas complejas. Biosidus tiene 40+ años de experiencia en biosimilares.</w:t>
      </w:r>
    </w:p>
    <w:p>
      <w:pPr>
        <w:pStyle w:val="BodyText"/>
      </w:pPr>
      <w:r>
        <w:rPr>
          <w:b/>
        </w:rPr>
        <w:t xml:space="preserve">Talento en IA.</w:t>
      </w:r>
      <w:r>
        <w:t xml:space="preserve"> </w:t>
      </w:r>
      <w:r>
        <w:t xml:space="preserve">115.000+ desarrolladores de software. 20 startups nativas de IA. 11 unicornios tecnológicos. Primer lugar en proficiencia de inglés en América Latina. La UBA y el ITBA tienen programas reconocidos en inteligencia artificial. La conferencia Khipu (IA latinoamericana) se realizó en Buenos Aires en 2023.</w:t>
      </w:r>
    </w:p>
    <w:p>
      <w:pPr>
        <w:pStyle w:val="BodyText"/>
      </w:pPr>
      <w:r>
        <w:rPr>
          <w:b/>
        </w:rPr>
        <w:t xml:space="preserve">Infraestructura computacional existente.</w:t>
      </w:r>
      <w:r>
        <w:t xml:space="preserve"> </w:t>
      </w:r>
      <w:r>
        <w:t xml:space="preserve">Clementina XXI: 15,7 petaFLOPS — la supercomputadora más potente de América Latina para investigación académica. CCAD en Córdoba: 71 teraFLOPS. ARSAT: red federal de 34.500 km de fibra óptica con data center certificado Tier III.</w:t>
      </w:r>
    </w:p>
    <w:p>
      <w:pPr>
        <w:pStyle w:val="BodyText"/>
      </w:pPr>
      <w:r>
        <w:rPr>
          <w:b/>
        </w:rPr>
        <w:t xml:space="preserve">Diáspora científica como activo.</w:t>
      </w:r>
      <w:r>
        <w:t xml:space="preserve"> </w:t>
      </w:r>
      <w:r>
        <w:t xml:space="preserve">Miles de investigadores argentinos trabajan en las mejores universidades del mundo (MIT, Stanford, Cambridge, Oxford). No son talento perdido — son potenciales colaboradores, mentores y puentes con la ciencia global.</w:t>
      </w:r>
    </w:p>
    <w:p>
      <w:r>
        <w:pict>
          <v:rect style="width:0;height:1.5pt" o:hralign="center" o:hrstd="t" o:hr="t"/>
        </w:pict>
      </w:r>
    </w:p>
    <w:p>
      <w:pPr>
        <w:pStyle w:val="Heading2"/>
      </w:pPr>
      <w:bookmarkStart w:id="30" w:name="X715e223185d4be1d3fa7bc77c185f9d47ee1d5f"/>
      <w:r>
        <w:t xml:space="preserve">CAITMA: Centro Argentino de Investigación en Terapias Médicas + AI</w:t>
      </w:r>
      <w:bookmarkEnd w:id="30"/>
    </w:p>
    <w:p>
      <w:pPr>
        <w:pStyle w:val="Heading3"/>
      </w:pPr>
      <w:bookmarkStart w:id="31" w:name="qué-es"/>
      <w:r>
        <w:t xml:space="preserve">Qué es</w:t>
      </w:r>
      <w:bookmarkEnd w:id="31"/>
    </w:p>
    <w:p>
      <w:pPr>
        <w:pStyle w:val="FirstParagraph"/>
      </w:pPr>
      <w:r>
        <w:t xml:space="preserve">Un centro de investigación público-privado que combina inteligencia artificial con investigación biomédica para acelerar el descubrimiento de tratamientos contra las enfermedades que más sufrimiento causan. No busca competir con DeepMind o Recursion — busca hacer lo que ellos no hacen: investigar para las poblaciones y enfermedades que el mercado farmacéutico global ignora.</w:t>
      </w:r>
    </w:p>
    <w:p>
      <w:pPr>
        <w:pStyle w:val="BodyText"/>
      </w:pPr>
      <w:r>
        <w:rPr>
          <w:b/>
        </w:rPr>
        <w:t xml:space="preserve">Ubicación:</w:t>
      </w:r>
      <w:r>
        <w:t xml:space="preserve"> </w:t>
      </w:r>
      <w:r>
        <w:t xml:space="preserve">Buenos Aires, co-localizado con el Instituto Leloir y con acceso a la infraestructura de CONICET, UBA y el Hospital de Clínicas.</w:t>
      </w:r>
    </w:p>
    <w:p>
      <w:pPr>
        <w:pStyle w:val="BodyText"/>
      </w:pPr>
      <w:r>
        <w:rPr>
          <w:b/>
        </w:rPr>
        <w:t xml:space="preserve">Modelo:</w:t>
      </w:r>
      <w:r>
        <w:t xml:space="preserve"> </w:t>
      </w:r>
      <w:r>
        <w:t xml:space="preserve">Inspirado en el Israel Precision Medicine Partnership (público + fundaciones + pharma), el Estonian Biobank (datos poblacionales como base), y el enfoque de Insilico Medicine (IA para compresión radical de tiempos y costos de investigación).</w:t>
      </w:r>
    </w:p>
    <w:p>
      <w:pPr>
        <w:pStyle w:val="Heading3"/>
      </w:pPr>
      <w:bookmarkStart w:id="32" w:name="misión"/>
      <w:r>
        <w:t xml:space="preserve">Misión</w:t>
      </w:r>
      <w:bookmarkEnd w:id="32"/>
    </w:p>
    <w:p>
      <w:pPr>
        <w:pStyle w:val="FirstParagraph"/>
      </w:pPr>
      <w:r>
        <w:t xml:space="preserve">Usar inteligencia artificial para acelerar la investigación de terapias contra enfermedades sin cura o con tratamientos insuficientes, priorizando las que más afectan a la población argentina y latinoamericana, y generando conocimiento y herramientas de acceso público para el sistema de salud.</w:t>
      </w:r>
    </w:p>
    <w:p>
      <w:pPr>
        <w:pStyle w:val="Heading3"/>
      </w:pPr>
      <w:bookmarkStart w:id="33" w:name="las-cinco-líneas-de-investigación"/>
      <w:r>
        <w:t xml:space="preserve">Las cinco líneas de investigación</w:t>
      </w:r>
      <w:bookmarkEnd w:id="33"/>
    </w:p>
    <w:p>
      <w:pPr>
        <w:pStyle w:val="FirstParagraph"/>
      </w:pPr>
      <w:r>
        <w:rPr>
          <w:b/>
        </w:rPr>
        <w:t xml:space="preserve">Línea 1 — Misión Enfermedades Desatendidas Latinoamericanas</w:t>
      </w:r>
      <w:r>
        <w:t xml:space="preserve"> </w:t>
      </w:r>
      <w:r>
        <w:t xml:space="preserve">Argentina tiene 1,6 millones de infectados de Chagas, brotes récord de dengue, hantavirus con 33% de mortalidad. Estas enfermedades reciben poca atención de las grandes farmacéuticas porque los pacientes están en países pobres. CAITMA usa IA para:</w:t>
      </w:r>
      <w:r>
        <w:t xml:space="preserve"> </w:t>
      </w:r>
      <w:r>
        <w:t xml:space="preserve">- Reposicionamiento de fármacos existentes (el camino más rápido y barato)</w:t>
      </w:r>
      <w:r>
        <w:t xml:space="preserve"> </w:t>
      </w:r>
      <w:r>
        <w:t xml:space="preserve">- Diseño de nuevas moléculas contra blancos de Chagas, dengue grave, hantavirus</w:t>
      </w:r>
      <w:r>
        <w:t xml:space="preserve"> </w:t>
      </w:r>
      <w:r>
        <w:t xml:space="preserve">- Vacunas de nueva generación con diseño computacional</w:t>
      </w:r>
    </w:p>
    <w:p>
      <w:pPr>
        <w:pStyle w:val="BodyText"/>
      </w:pPr>
      <w:r>
        <w:rPr>
          <w:b/>
        </w:rPr>
        <w:t xml:space="preserve">Línea 2 — Oncología de Precisión con IA</w:t>
      </w:r>
      <w:r>
        <w:t xml:space="preserve"> </w:t>
      </w:r>
      <w:r>
        <w:t xml:space="preserve">El cáncer es la segunda causa de muerte en Argentina (216,7 casos por 100.000). CAITMA trabaja en:</w:t>
      </w:r>
      <w:r>
        <w:t xml:space="preserve"> </w:t>
      </w:r>
      <w:r>
        <w:t xml:space="preserve">- Plataforma de diagnóstico temprano multi-cáncer usando biopsia líquida + IA</w:t>
      </w:r>
      <w:r>
        <w:t xml:space="preserve"> </w:t>
      </w:r>
      <w:r>
        <w:t xml:space="preserve">- Optimización computacional de terapias CAR-T adaptadas a perfiles genéticos argentinos</w:t>
      </w:r>
      <w:r>
        <w:t xml:space="preserve"> </w:t>
      </w:r>
      <w:r>
        <w:t xml:space="preserve">- Diseño asistido por IA de vacunas terapéuticas de mRNA para tumores sólidos prevalentes (mama, colorrectal, pulmón)</w:t>
      </w:r>
    </w:p>
    <w:p>
      <w:pPr>
        <w:pStyle w:val="BodyText"/>
      </w:pPr>
      <w:r>
        <w:rPr>
          <w:b/>
        </w:rPr>
        <w:t xml:space="preserve">Línea 3 — Neurodegeneración y Salud Mental</w:t>
      </w:r>
      <w:r>
        <w:t xml:space="preserve"> </w:t>
      </w:r>
      <w:r>
        <w:t xml:space="preserve">Alzheimer, ELA, esquizofrenia. CAITMA desarrolla:</w:t>
      </w:r>
      <w:r>
        <w:t xml:space="preserve"> </w:t>
      </w:r>
      <w:r>
        <w:t xml:space="preserve">- Herramientas de detección temprana basadas en IA (biomarcadores digitales: voz, marcha, patrones de uso del sistema de salud)</w:t>
      </w:r>
      <w:r>
        <w:t xml:space="preserve"> </w:t>
      </w:r>
      <w:r>
        <w:t xml:space="preserve">- Gemelos digitales de progresión neurodegenerativa para optimizar ensayos clínicos</w:t>
      </w:r>
      <w:r>
        <w:t xml:space="preserve"> </w:t>
      </w:r>
      <w:r>
        <w:t xml:space="preserve">- Identificación computacional de nuevos blancos terapéuticos usando datos ómicos</w:t>
      </w:r>
    </w:p>
    <w:p>
      <w:pPr>
        <w:pStyle w:val="BodyText"/>
      </w:pPr>
      <w:r>
        <w:rPr>
          <w:b/>
        </w:rPr>
        <w:t xml:space="preserve">Línea 4 — Neurodivergencia y Autismo</w:t>
      </w:r>
      <w:r>
        <w:t xml:space="preserve"> </w:t>
      </w:r>
      <w:r>
        <w:t xml:space="preserve">No buscar una</w:t>
      </w:r>
      <w:r>
        <w:t xml:space="preserve"> </w:t>
      </w:r>
      <w:r>
        <w:t xml:space="preserve">“</w:t>
      </w:r>
      <w:r>
        <w:t xml:space="preserve">cura</w:t>
      </w:r>
      <w:r>
        <w:t xml:space="preserve">”</w:t>
      </w:r>
      <w:r>
        <w:t xml:space="preserve"> </w:t>
      </w:r>
      <w:r>
        <w:t xml:space="preserve">sino herramientas para una vida plena:</w:t>
      </w:r>
      <w:r>
        <w:t xml:space="preserve"> </w:t>
      </w:r>
      <w:r>
        <w:t xml:space="preserve">- Plataforma de detección temprana (desde 16 meses) usando análisis de video con IA, adaptada al contexto argentino</w:t>
      </w:r>
      <w:r>
        <w:t xml:space="preserve"> </w:t>
      </w:r>
      <w:r>
        <w:t xml:space="preserve">- Herramientas de comunicación asistida personalizadas</w:t>
      </w:r>
      <w:r>
        <w:t xml:space="preserve"> </w:t>
      </w:r>
      <w:r>
        <w:t xml:space="preserve">- Mapeo conectómico para comprender mejor los perfiles sensoriales individuales</w:t>
      </w:r>
    </w:p>
    <w:p>
      <w:pPr>
        <w:pStyle w:val="BodyText"/>
      </w:pPr>
      <w:r>
        <w:rPr>
          <w:b/>
        </w:rPr>
        <w:t xml:space="preserve">Línea 5 — Enfermedades Autoinmunes y Cardiovasculares</w:t>
      </w:r>
      <w:r>
        <w:t xml:space="preserve"> </w:t>
      </w:r>
      <w:r>
        <w:t xml:space="preserve">Lupus, esclerosis múltiple, hipertensión:</w:t>
      </w:r>
      <w:r>
        <w:t xml:space="preserve"> </w:t>
      </w:r>
      <w:r>
        <w:t xml:space="preserve">- Reposicionamiento de fármacos usando IA sobre datos ómicos</w:t>
      </w:r>
      <w:r>
        <w:t xml:space="preserve"> </w:t>
      </w:r>
      <w:r>
        <w:t xml:space="preserve">- Modelos predictivos de eventos cardiovasculares adaptados a población argentina</w:t>
      </w:r>
      <w:r>
        <w:t xml:space="preserve"> </w:t>
      </w:r>
      <w:r>
        <w:t xml:space="preserve">- Monitoreo personalizado de flares autoinmunes</w:t>
      </w:r>
    </w:p>
    <w:p>
      <w:pPr>
        <w:pStyle w:val="Heading3"/>
      </w:pPr>
      <w:bookmarkStart w:id="34" w:name="Xfc590e3fd90f70d08b9c53f26f5fab5259145d2"/>
      <w:r>
        <w:t xml:space="preserve">Biobank Argentino: la base de datos que falta</w:t>
      </w:r>
      <w:bookmarkEnd w:id="34"/>
    </w:p>
    <w:p>
      <w:pPr>
        <w:pStyle w:val="FirstParagraph"/>
      </w:pPr>
      <w:r>
        <w:t xml:space="preserve">Ninguna investigación médica moderna funciona sin datos poblacionales robustos. Estonia tiene 212.000 muestras (&gt;20% de su población adulta). Israel está construyendo Psifas con 50.000 muestras genómicas. Argentina no tiene nada comparable.</w:t>
      </w:r>
    </w:p>
    <w:p>
      <w:pPr>
        <w:pStyle w:val="BodyText"/>
      </w:pPr>
      <w:r>
        <w:t xml:space="preserve">CAITMA incluye la creación del</w:t>
      </w:r>
      <w:r>
        <w:t xml:space="preserve"> </w:t>
      </w:r>
      <w:r>
        <w:rPr>
          <w:b/>
        </w:rPr>
        <w:t xml:space="preserve">Biobank Argentino de Salud</w:t>
      </w:r>
      <w:r>
        <w:t xml:space="preserve">: una base de datos genómica, clínica y epidemiológica de la población argentina. Objetivo: 100.000 participantes en 5 años, representativos de todas las provincias, etnias y condiciones socioeconómicas.</w:t>
      </w:r>
    </w:p>
    <w:p>
      <w:pPr>
        <w:pStyle w:val="BodyText"/>
      </w:pPr>
      <w:r>
        <w:t xml:space="preserve">Este biobank tiene un valor estratégico enorme: las poblaciones mestizas latinoamericanas están sub-representadas en los datasets genómicos globales. Un biobank argentino no solo sirve a la investigación local — es un activo único para la ciencia mundial, y por lo tanto una herramienta de negociación para partnerships internacionales.</w:t>
      </w:r>
    </w:p>
    <w:p>
      <w:pPr>
        <w:pStyle w:val="Heading3"/>
      </w:pPr>
      <w:bookmarkStart w:id="35" w:name="estructura-y-equipo"/>
      <w:r>
        <w:t xml:space="preserve">Estructura y equipo</w:t>
      </w:r>
      <w:bookmarkEnd w:id="35"/>
    </w:p>
    <w:p>
      <w:pPr>
        <w:pStyle w:val="FirstParagraph"/>
      </w:pPr>
      <w:r>
        <w:rPr>
          <w:b/>
        </w:rPr>
        <w:t xml:space="preserve">Año 1-2: Núcleo fundacional (40 personas)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Cantidad</w:t>
            </w:r>
          </w:p>
        </w:tc>
        <w:tc>
          <w:tcPr>
            <w:tcBorders>
              <w:bottom w:val="single"/>
            </w:tcBorders>
            <w:vAlign w:val="bottom"/>
          </w:tcPr>
          <w:p>
            <w:pPr>
              <w:pStyle w:val="Compact"/>
              <w:jc w:val="left"/>
            </w:pPr>
            <w:r>
              <w:t xml:space="preserve">Salario anual promedio (USD)</w:t>
            </w:r>
          </w:p>
        </w:tc>
      </w:tr>
      <w:tr>
        <w:tc>
          <w:p>
            <w:pPr>
              <w:pStyle w:val="Compact"/>
              <w:jc w:val="left"/>
            </w:pPr>
            <w:r>
              <w:t xml:space="preserve">Director/a científico/a</w:t>
            </w:r>
          </w:p>
        </w:tc>
        <w:tc>
          <w:p>
            <w:pPr>
              <w:pStyle w:val="Compact"/>
              <w:jc w:val="left"/>
            </w:pPr>
            <w:r>
              <w:t xml:space="preserve">1</w:t>
            </w:r>
          </w:p>
        </w:tc>
        <w:tc>
          <w:p>
            <w:pPr>
              <w:pStyle w:val="Compact"/>
              <w:jc w:val="left"/>
            </w:pPr>
            <w:r>
              <w:t xml:space="preserve">120.000</w:t>
            </w:r>
          </w:p>
        </w:tc>
      </w:tr>
      <w:tr>
        <w:tc>
          <w:p>
            <w:pPr>
              <w:pStyle w:val="Compact"/>
              <w:jc w:val="left"/>
            </w:pPr>
            <w:r>
              <w:t xml:space="preserve">Investigadores senior IA/ML</w:t>
            </w:r>
          </w:p>
        </w:tc>
        <w:tc>
          <w:p>
            <w:pPr>
              <w:pStyle w:val="Compact"/>
              <w:jc w:val="left"/>
            </w:pPr>
            <w:r>
              <w:t xml:space="preserve">6</w:t>
            </w:r>
          </w:p>
        </w:tc>
        <w:tc>
          <w:p>
            <w:pPr>
              <w:pStyle w:val="Compact"/>
              <w:jc w:val="left"/>
            </w:pPr>
            <w:r>
              <w:t xml:space="preserve">90.000</w:t>
            </w:r>
          </w:p>
        </w:tc>
      </w:tr>
      <w:tr>
        <w:tc>
          <w:p>
            <w:pPr>
              <w:pStyle w:val="Compact"/>
              <w:jc w:val="left"/>
            </w:pPr>
            <w:r>
              <w:t xml:space="preserve">Investigadores senior biomédicos</w:t>
            </w:r>
          </w:p>
        </w:tc>
        <w:tc>
          <w:p>
            <w:pPr>
              <w:pStyle w:val="Compact"/>
              <w:jc w:val="left"/>
            </w:pPr>
            <w:r>
              <w:t xml:space="preserve">6</w:t>
            </w:r>
          </w:p>
        </w:tc>
        <w:tc>
          <w:p>
            <w:pPr>
              <w:pStyle w:val="Compact"/>
              <w:jc w:val="left"/>
            </w:pPr>
            <w:r>
              <w:t xml:space="preserve">85.000</w:t>
            </w:r>
          </w:p>
        </w:tc>
      </w:tr>
      <w:tr>
        <w:tc>
          <w:p>
            <w:pPr>
              <w:pStyle w:val="Compact"/>
              <w:jc w:val="left"/>
            </w:pPr>
            <w:r>
              <w:t xml:space="preserve">Investigadores junior / postdocs</w:t>
            </w:r>
          </w:p>
        </w:tc>
        <w:tc>
          <w:p>
            <w:pPr>
              <w:pStyle w:val="Compact"/>
              <w:jc w:val="left"/>
            </w:pPr>
            <w:r>
              <w:t xml:space="preserve">10</w:t>
            </w:r>
          </w:p>
        </w:tc>
        <w:tc>
          <w:p>
            <w:pPr>
              <w:pStyle w:val="Compact"/>
              <w:jc w:val="left"/>
            </w:pPr>
            <w:r>
              <w:t xml:space="preserve">55.000</w:t>
            </w:r>
          </w:p>
        </w:tc>
      </w:tr>
      <w:tr>
        <w:tc>
          <w:p>
            <w:pPr>
              <w:pStyle w:val="Compact"/>
              <w:jc w:val="left"/>
            </w:pPr>
            <w:r>
              <w:t xml:space="preserve">Científicos de datos</w:t>
            </w:r>
          </w:p>
        </w:tc>
        <w:tc>
          <w:p>
            <w:pPr>
              <w:pStyle w:val="Compact"/>
              <w:jc w:val="left"/>
            </w:pPr>
            <w:r>
              <w:t xml:space="preserve">5</w:t>
            </w:r>
          </w:p>
        </w:tc>
        <w:tc>
          <w:p>
            <w:pPr>
              <w:pStyle w:val="Compact"/>
              <w:jc w:val="left"/>
            </w:pPr>
            <w:r>
              <w:t xml:space="preserve">70.000</w:t>
            </w:r>
          </w:p>
        </w:tc>
      </w:tr>
      <w:tr>
        <w:tc>
          <w:p>
            <w:pPr>
              <w:pStyle w:val="Compact"/>
              <w:jc w:val="left"/>
            </w:pPr>
            <w:r>
              <w:t xml:space="preserve">Ingenieros de software/infraestructura</w:t>
            </w:r>
          </w:p>
        </w:tc>
        <w:tc>
          <w:p>
            <w:pPr>
              <w:pStyle w:val="Compact"/>
              <w:jc w:val="left"/>
            </w:pPr>
            <w:r>
              <w:t xml:space="preserve">5</w:t>
            </w:r>
          </w:p>
        </w:tc>
        <w:tc>
          <w:p>
            <w:pPr>
              <w:pStyle w:val="Compact"/>
              <w:jc w:val="left"/>
            </w:pPr>
            <w:r>
              <w:t xml:space="preserve">65.000</w:t>
            </w:r>
          </w:p>
        </w:tc>
      </w:tr>
      <w:tr>
        <w:tc>
          <w:p>
            <w:pPr>
              <w:pStyle w:val="Compact"/>
              <w:jc w:val="left"/>
            </w:pPr>
            <w:r>
              <w:t xml:space="preserve">Técnicos de laboratorio</w:t>
            </w:r>
          </w:p>
        </w:tc>
        <w:tc>
          <w:p>
            <w:pPr>
              <w:pStyle w:val="Compact"/>
              <w:jc w:val="left"/>
            </w:pPr>
            <w:r>
              <w:t xml:space="preserve">4</w:t>
            </w:r>
          </w:p>
        </w:tc>
        <w:tc>
          <w:p>
            <w:pPr>
              <w:pStyle w:val="Compact"/>
              <w:jc w:val="left"/>
            </w:pPr>
            <w:r>
              <w:t xml:space="preserve">40.000</w:t>
            </w:r>
          </w:p>
        </w:tc>
      </w:tr>
      <w:tr>
        <w:tc>
          <w:p>
            <w:pPr>
              <w:pStyle w:val="Compact"/>
              <w:jc w:val="left"/>
            </w:pPr>
            <w:r>
              <w:t xml:space="preserve">Gestión y administración</w:t>
            </w:r>
          </w:p>
        </w:tc>
        <w:tc>
          <w:p>
            <w:pPr>
              <w:pStyle w:val="Compact"/>
              <w:jc w:val="left"/>
            </w:pPr>
            <w:r>
              <w:t xml:space="preserve">3</w:t>
            </w:r>
          </w:p>
        </w:tc>
        <w:tc>
          <w:p>
            <w:pPr>
              <w:pStyle w:val="Compact"/>
              <w:jc w:val="left"/>
            </w:pPr>
            <w:r>
              <w:t xml:space="preserve">50.000</w:t>
            </w:r>
          </w:p>
        </w:tc>
      </w:tr>
    </w:tbl>
    <w:p>
      <w:pPr>
        <w:pStyle w:val="BodyText"/>
      </w:pPr>
      <w:r>
        <w:rPr>
          <w:b/>
        </w:rPr>
        <w:t xml:space="preserve">Nota salarial:</w:t>
      </w:r>
      <w:r>
        <w:t xml:space="preserve"> </w:t>
      </w:r>
      <w:r>
        <w:t xml:space="preserve">Estos salarios son significativamente superiores a los actuales de CONICET pero inferiores a los de países desarrollados. La estrategia es ofrecer: (a) salarios competitivos para la región, (b) estabilidad laboral a 10 años, (c) infraestructura de primer nivel, (d) impacto social directo, (e) conexiones internacionales. El objetivo es que un investigador argentino en Cambridge diga:</w:t>
      </w:r>
      <w:r>
        <w:t xml:space="preserve"> </w:t>
      </w:r>
      <w:r>
        <w:t xml:space="preserve">“</w:t>
      </w:r>
      <w:r>
        <w:t xml:space="preserve">esto vale la pena</w:t>
      </w:r>
      <w:r>
        <w:t xml:space="preserve">”</w:t>
      </w:r>
      <w:r>
        <w:t xml:space="preserve">.</w:t>
      </w:r>
    </w:p>
    <w:p>
      <w:pPr>
        <w:pStyle w:val="BodyText"/>
      </w:pPr>
      <w:r>
        <w:rPr>
          <w:b/>
        </w:rPr>
        <w:t xml:space="preserve">Año 3-5: Expansión (65-75 personas)</w:t>
      </w:r>
      <w:r>
        <w:t xml:space="preserve"> </w:t>
      </w:r>
      <w:r>
        <w:t xml:space="preserve">Se suman: más investigadores junior, equipo de biobanking, coordinadores clínicos para integración hospitalaria, comunicadores científicos.</w:t>
      </w:r>
    </w:p>
    <w:p>
      <w:pPr>
        <w:pStyle w:val="Heading3"/>
      </w:pPr>
      <w:bookmarkStart w:id="36" w:name="infraestructura"/>
      <w:r>
        <w:t xml:space="preserve">Infraestructura</w:t>
      </w:r>
      <w:bookmarkEnd w:id="36"/>
    </w:p>
    <w:p>
      <w:pPr>
        <w:pStyle w:val="FirstParagraph"/>
      </w:pPr>
      <w:r>
        <w:rPr>
          <w:b/>
        </w:rPr>
        <w:t xml:space="preserve">Modelo híbrido</w:t>
      </w:r>
      <w:r>
        <w:t xml:space="preserve"> </w:t>
      </w:r>
      <w:r>
        <w:t xml:space="preserve">(no puramente propio, no puramente nube): aprender de los errores de quienes intentaron construir todo desde cero.</w:t>
      </w:r>
    </w:p>
    <w:tbl>
      <w:tblPr>
        <w:tblStyle w:val="Table"/>
        <w:tblW w:type="pct" w:w="5000.0"/>
        <w:tblLook w:firstRow="1"/>
      </w:tblPr>
      <w:tblGrid>
        <w:gridCol w:w="2489"/>
        <w:gridCol w:w="2489"/>
        <w:gridCol w:w="2941"/>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Inversión</w:t>
            </w:r>
          </w:p>
        </w:tc>
        <w:tc>
          <w:tcPr>
            <w:tcBorders>
              <w:bottom w:val="single"/>
            </w:tcBorders>
            <w:vAlign w:val="bottom"/>
          </w:tcPr>
          <w:p>
            <w:pPr>
              <w:pStyle w:val="Compact"/>
              <w:jc w:val="left"/>
            </w:pPr>
            <w:r>
              <w:t xml:space="preserve">Descripción</w:t>
            </w:r>
          </w:p>
        </w:tc>
      </w:tr>
      <w:tr>
        <w:tc>
          <w:p>
            <w:pPr>
              <w:pStyle w:val="Compact"/>
              <w:jc w:val="left"/>
            </w:pPr>
            <w:r>
              <w:t xml:space="preserve">Cluster GPU propio (32 NVIDIA H100)</w:t>
            </w:r>
          </w:p>
        </w:tc>
        <w:tc>
          <w:p>
            <w:pPr>
              <w:pStyle w:val="Compact"/>
              <w:jc w:val="left"/>
            </w:pPr>
            <w:r>
              <w:t xml:space="preserve">USD 22M</w:t>
            </w:r>
          </w:p>
        </w:tc>
        <w:tc>
          <w:p>
            <w:pPr>
              <w:pStyle w:val="Compact"/>
              <w:jc w:val="left"/>
            </w:pPr>
            <w:r>
              <w:t xml:space="preserve">Para investigación intensiva, datos sensibles, soberanía de datos</w:t>
            </w:r>
          </w:p>
        </w:tc>
      </w:tr>
      <w:tr>
        <w:tc>
          <w:p>
            <w:pPr>
              <w:pStyle w:val="Compact"/>
              <w:jc w:val="left"/>
            </w:pPr>
            <w:r>
              <w:t xml:space="preserve">Acceso cloud (AWS/Google Cloud)</w:t>
            </w:r>
          </w:p>
        </w:tc>
        <w:tc>
          <w:p>
            <w:pPr>
              <w:pStyle w:val="Compact"/>
              <w:jc w:val="left"/>
            </w:pPr>
            <w:r>
              <w:t xml:space="preserve">USD 1,2M/año</w:t>
            </w:r>
          </w:p>
        </w:tc>
        <w:tc>
          <w:p>
            <w:pPr>
              <w:pStyle w:val="Compact"/>
              <w:jc w:val="left"/>
            </w:pPr>
            <w:r>
              <w:t xml:space="preserve">Para picos de demanda, proyectos colaborativos, escalabilidad</w:t>
            </w:r>
          </w:p>
        </w:tc>
      </w:tr>
      <w:tr>
        <w:tc>
          <w:p>
            <w:pPr>
              <w:pStyle w:val="Compact"/>
              <w:jc w:val="left"/>
            </w:pPr>
            <w:r>
              <w:t xml:space="preserve">Renovación de instalaciones (co-locación con Leloir)</w:t>
            </w:r>
          </w:p>
        </w:tc>
        <w:tc>
          <w:p>
            <w:pPr>
              <w:pStyle w:val="Compact"/>
              <w:jc w:val="left"/>
            </w:pPr>
            <w:r>
              <w:t xml:space="preserve">USD 6M</w:t>
            </w:r>
          </w:p>
        </w:tc>
        <w:tc>
          <w:p>
            <w:pPr>
              <w:pStyle w:val="Compact"/>
              <w:jc w:val="left"/>
            </w:pPr>
            <w:r>
              <w:t xml:space="preserve">Laboratorios, servidores, salas de reuniones, espacios colaborativos</w:t>
            </w:r>
          </w:p>
        </w:tc>
      </w:tr>
      <w:tr>
        <w:tc>
          <w:p>
            <w:pPr>
              <w:pStyle w:val="Compact"/>
              <w:jc w:val="left"/>
            </w:pPr>
            <w:r>
              <w:t xml:space="preserve">Almacenamiento de datos + ciberseguridad</w:t>
            </w:r>
          </w:p>
        </w:tc>
        <w:tc>
          <w:p>
            <w:pPr>
              <w:pStyle w:val="Compact"/>
              <w:jc w:val="left"/>
            </w:pPr>
            <w:r>
              <w:t xml:space="preserve">USD 5M</w:t>
            </w:r>
          </w:p>
        </w:tc>
        <w:tc>
          <w:p>
            <w:pPr>
              <w:pStyle w:val="Compact"/>
              <w:jc w:val="left"/>
            </w:pPr>
            <w:r>
              <w:t xml:space="preserve">Cumplimiento con estándares internacionales de privacidad</w:t>
            </w:r>
          </w:p>
        </w:tc>
      </w:tr>
      <w:tr>
        <w:tc>
          <w:p>
            <w:pPr>
              <w:pStyle w:val="Compact"/>
              <w:jc w:val="left"/>
            </w:pPr>
            <w:r>
              <w:t xml:space="preserve">Equipamiento de laboratorio wet-lab</w:t>
            </w:r>
          </w:p>
        </w:tc>
        <w:tc>
          <w:p>
            <w:pPr>
              <w:pStyle w:val="Compact"/>
              <w:jc w:val="left"/>
            </w:pPr>
            <w:r>
              <w:t xml:space="preserve">USD 4M</w:t>
            </w:r>
          </w:p>
        </w:tc>
        <w:tc>
          <w:p>
            <w:pPr>
              <w:pStyle w:val="Compact"/>
              <w:jc w:val="left"/>
            </w:pPr>
            <w:r>
              <w:t xml:space="preserve">Para validación experimental de descubrimientos computacionales</w:t>
            </w:r>
          </w:p>
        </w:tc>
      </w:tr>
      <w:tr>
        <w:tc>
          <w:p>
            <w:pPr>
              <w:pStyle w:val="Compact"/>
              <w:jc w:val="left"/>
            </w:pPr>
            <w:r>
              <w:t xml:space="preserve">Software, licencias, herramientas</w:t>
            </w:r>
          </w:p>
        </w:tc>
        <w:tc>
          <w:p>
            <w:pPr>
              <w:pStyle w:val="Compact"/>
              <w:jc w:val="left"/>
            </w:pPr>
            <w:r>
              <w:t xml:space="preserve">USD 2M</w:t>
            </w:r>
          </w:p>
        </w:tc>
        <w:tc>
          <w:p>
            <w:pPr>
              <w:pStyle w:val="Compact"/>
              <w:jc w:val="left"/>
            </w:pPr>
            <w:r>
              <w:t xml:space="preserve">Plataformas de investigación, bases de datos, herramientas de IA</w:t>
            </w:r>
          </w:p>
        </w:tc>
      </w:tr>
      <w:tr>
        <w:tc>
          <w:p>
            <w:pPr>
              <w:pStyle w:val="Compact"/>
              <w:jc w:val="left"/>
            </w:pPr>
            <w:r>
              <w:rPr>
                <w:b/>
              </w:rPr>
              <w:t xml:space="preserve">Total infraestructura inicial</w:t>
            </w:r>
          </w:p>
        </w:tc>
        <w:tc>
          <w:p>
            <w:pPr>
              <w:pStyle w:val="Compact"/>
              <w:jc w:val="left"/>
            </w:pPr>
            <w:r>
              <w:rPr>
                <w:b/>
              </w:rPr>
              <w:t xml:space="preserve">USD 40M</w:t>
            </w:r>
          </w:p>
        </w:tc>
        <w:tc>
          <w:p/>
        </w:tc>
      </w:tr>
    </w:tbl>
    <w:p>
      <w:pPr>
        <w:pStyle w:val="BodyText"/>
      </w:pPr>
      <w:r>
        <w:rPr>
          <w:b/>
        </w:rPr>
        <w:t xml:space="preserve">Conectividad:</w:t>
      </w:r>
      <w:r>
        <w:t xml:space="preserve"> </w:t>
      </w:r>
      <w:r>
        <w:t xml:space="preserve">Acceso dedicado a Clementina XXI (15,7 petaFLOPS) para proyectos que requieran escala masiva, a través de la red REFEFO de ARSAT.</w:t>
      </w:r>
    </w:p>
    <w:p>
      <w:pPr>
        <w:pStyle w:val="Heading3"/>
      </w:pPr>
      <w:bookmarkStart w:id="37" w:name="costeo-total-5-años"/>
      <w:r>
        <w:t xml:space="preserve">Costeo total (5 años)</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Año 1</w:t>
            </w:r>
          </w:p>
        </w:tc>
        <w:tc>
          <w:tcPr>
            <w:tcBorders>
              <w:bottom w:val="single"/>
            </w:tcBorders>
            <w:vAlign w:val="bottom"/>
          </w:tcPr>
          <w:p>
            <w:pPr>
              <w:pStyle w:val="Compact"/>
              <w:jc w:val="left"/>
            </w:pPr>
            <w:r>
              <w:t xml:space="preserve">Año 2</w:t>
            </w:r>
          </w:p>
        </w:tc>
        <w:tc>
          <w:tcPr>
            <w:tcBorders>
              <w:bottom w:val="single"/>
            </w:tcBorders>
            <w:vAlign w:val="bottom"/>
          </w:tcPr>
          <w:p>
            <w:pPr>
              <w:pStyle w:val="Compact"/>
              <w:jc w:val="left"/>
            </w:pPr>
            <w:r>
              <w:t xml:space="preserve">Año 3</w:t>
            </w:r>
          </w:p>
        </w:tc>
        <w:tc>
          <w:tcPr>
            <w:tcBorders>
              <w:bottom w:val="single"/>
            </w:tcBorders>
            <w:vAlign w:val="bottom"/>
          </w:tcPr>
          <w:p>
            <w:pPr>
              <w:pStyle w:val="Compact"/>
              <w:jc w:val="left"/>
            </w:pPr>
            <w:r>
              <w:t xml:space="preserve">Año 4</w:t>
            </w:r>
          </w:p>
        </w:tc>
        <w:tc>
          <w:tcPr>
            <w:tcBorders>
              <w:bottom w:val="single"/>
            </w:tcBorders>
            <w:vAlign w:val="bottom"/>
          </w:tcPr>
          <w:p>
            <w:pPr>
              <w:pStyle w:val="Compact"/>
              <w:jc w:val="left"/>
            </w:pPr>
            <w:r>
              <w:t xml:space="preserve">Año 5</w:t>
            </w:r>
          </w:p>
        </w:tc>
        <w:tc>
          <w:tcPr>
            <w:tcBorders>
              <w:bottom w:val="single"/>
            </w:tcBorders>
            <w:vAlign w:val="bottom"/>
          </w:tcPr>
          <w:p>
            <w:pPr>
              <w:pStyle w:val="Compact"/>
              <w:jc w:val="left"/>
            </w:pPr>
            <w:r>
              <w:t xml:space="preserve">Total 5 años</w:t>
            </w:r>
          </w:p>
        </w:tc>
      </w:tr>
      <w:tr>
        <w:tc>
          <w:p>
            <w:pPr>
              <w:pStyle w:val="Compact"/>
              <w:jc w:val="left"/>
            </w:pPr>
            <w:r>
              <w:t xml:space="preserve">Infraestructura inicial</w:t>
            </w:r>
          </w:p>
        </w:tc>
        <w:tc>
          <w:p>
            <w:pPr>
              <w:pStyle w:val="Compact"/>
              <w:jc w:val="left"/>
            </w:pPr>
            <w:r>
              <w:t xml:space="preserve">40</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40</w:t>
            </w:r>
          </w:p>
        </w:tc>
      </w:tr>
      <w:tr>
        <w:tc>
          <w:p>
            <w:pPr>
              <w:pStyle w:val="Compact"/>
              <w:jc w:val="left"/>
            </w:pPr>
            <w:r>
              <w:t xml:space="preserve">Nómina y beneficios (40→75 personas)</w:t>
            </w:r>
          </w:p>
        </w:tc>
        <w:tc>
          <w:p>
            <w:pPr>
              <w:pStyle w:val="Compact"/>
              <w:jc w:val="left"/>
            </w:pPr>
            <w:r>
              <w:t xml:space="preserve">3,5</w:t>
            </w:r>
          </w:p>
        </w:tc>
        <w:tc>
          <w:p>
            <w:pPr>
              <w:pStyle w:val="Compact"/>
              <w:jc w:val="left"/>
            </w:pPr>
            <w:r>
              <w:t xml:space="preserve">4,0</w:t>
            </w:r>
          </w:p>
        </w:tc>
        <w:tc>
          <w:p>
            <w:pPr>
              <w:pStyle w:val="Compact"/>
              <w:jc w:val="left"/>
            </w:pPr>
            <w:r>
              <w:t xml:space="preserve">5,5</w:t>
            </w:r>
          </w:p>
        </w:tc>
        <w:tc>
          <w:p>
            <w:pPr>
              <w:pStyle w:val="Compact"/>
              <w:jc w:val="left"/>
            </w:pPr>
            <w:r>
              <w:t xml:space="preserve">6,0</w:t>
            </w:r>
          </w:p>
        </w:tc>
        <w:tc>
          <w:p>
            <w:pPr>
              <w:pStyle w:val="Compact"/>
              <w:jc w:val="left"/>
            </w:pPr>
            <w:r>
              <w:t xml:space="preserve">6,5</w:t>
            </w:r>
          </w:p>
        </w:tc>
        <w:tc>
          <w:p>
            <w:pPr>
              <w:pStyle w:val="Compact"/>
              <w:jc w:val="left"/>
            </w:pPr>
            <w:r>
              <w:t xml:space="preserve">25,5</w:t>
            </w:r>
          </w:p>
        </w:tc>
      </w:tr>
      <w:tr>
        <w:tc>
          <w:p>
            <w:pPr>
              <w:pStyle w:val="Compact"/>
              <w:jc w:val="left"/>
            </w:pPr>
            <w:r>
              <w:t xml:space="preserve">Operación infraestructura + cloud</w:t>
            </w:r>
          </w:p>
        </w:tc>
        <w:tc>
          <w:p>
            <w:pPr>
              <w:pStyle w:val="Compact"/>
              <w:jc w:val="left"/>
            </w:pPr>
            <w:r>
              <w:t xml:space="preserve">2,5</w:t>
            </w:r>
          </w:p>
        </w:tc>
        <w:tc>
          <w:p>
            <w:pPr>
              <w:pStyle w:val="Compact"/>
              <w:jc w:val="left"/>
            </w:pPr>
            <w:r>
              <w:t xml:space="preserve">3,0</w:t>
            </w:r>
          </w:p>
        </w:tc>
        <w:tc>
          <w:p>
            <w:pPr>
              <w:pStyle w:val="Compact"/>
              <w:jc w:val="left"/>
            </w:pPr>
            <w:r>
              <w:t xml:space="preserve">3,5</w:t>
            </w:r>
          </w:p>
        </w:tc>
        <w:tc>
          <w:p>
            <w:pPr>
              <w:pStyle w:val="Compact"/>
              <w:jc w:val="left"/>
            </w:pPr>
            <w:r>
              <w:t xml:space="preserve">3,5</w:t>
            </w:r>
          </w:p>
        </w:tc>
        <w:tc>
          <w:p>
            <w:pPr>
              <w:pStyle w:val="Compact"/>
              <w:jc w:val="left"/>
            </w:pPr>
            <w:r>
              <w:t xml:space="preserve">3,5</w:t>
            </w:r>
          </w:p>
        </w:tc>
        <w:tc>
          <w:p>
            <w:pPr>
              <w:pStyle w:val="Compact"/>
              <w:jc w:val="left"/>
            </w:pPr>
            <w:r>
              <w:t xml:space="preserve">16,0</w:t>
            </w:r>
          </w:p>
        </w:tc>
      </w:tr>
      <w:tr>
        <w:tc>
          <w:p>
            <w:pPr>
              <w:pStyle w:val="Compact"/>
              <w:jc w:val="left"/>
            </w:pPr>
            <w:r>
              <w:t xml:space="preserve">Biobank (recolección, procesamiento, almacenamiento)</w:t>
            </w:r>
          </w:p>
        </w:tc>
        <w:tc>
          <w:p>
            <w:pPr>
              <w:pStyle w:val="Compact"/>
              <w:jc w:val="left"/>
            </w:pPr>
            <w:r>
              <w:t xml:space="preserve">1,0</w:t>
            </w:r>
          </w:p>
        </w:tc>
        <w:tc>
          <w:p>
            <w:pPr>
              <w:pStyle w:val="Compact"/>
              <w:jc w:val="left"/>
            </w:pPr>
            <w:r>
              <w:t xml:space="preserve">2,0</w:t>
            </w:r>
          </w:p>
        </w:tc>
        <w:tc>
          <w:p>
            <w:pPr>
              <w:pStyle w:val="Compact"/>
              <w:jc w:val="left"/>
            </w:pPr>
            <w:r>
              <w:t xml:space="preserve">3,0</w:t>
            </w:r>
          </w:p>
        </w:tc>
        <w:tc>
          <w:p>
            <w:pPr>
              <w:pStyle w:val="Compact"/>
              <w:jc w:val="left"/>
            </w:pPr>
            <w:r>
              <w:t xml:space="preserve">3,0</w:t>
            </w:r>
          </w:p>
        </w:tc>
        <w:tc>
          <w:p>
            <w:pPr>
              <w:pStyle w:val="Compact"/>
              <w:jc w:val="left"/>
            </w:pPr>
            <w:r>
              <w:t xml:space="preserve">3,0</w:t>
            </w:r>
          </w:p>
        </w:tc>
        <w:tc>
          <w:p>
            <w:pPr>
              <w:pStyle w:val="Compact"/>
              <w:jc w:val="left"/>
            </w:pPr>
            <w:r>
              <w:t xml:space="preserve">12,0</w:t>
            </w:r>
          </w:p>
        </w:tc>
      </w:tr>
      <w:tr>
        <w:tc>
          <w:p>
            <w:pPr>
              <w:pStyle w:val="Compact"/>
              <w:jc w:val="left"/>
            </w:pPr>
            <w:r>
              <w:t xml:space="preserve">Investigación (reactivos, ensayos, publicaciones)</w:t>
            </w:r>
          </w:p>
        </w:tc>
        <w:tc>
          <w:p>
            <w:pPr>
              <w:pStyle w:val="Compact"/>
              <w:jc w:val="left"/>
            </w:pPr>
            <w:r>
              <w:t xml:space="preserve">1,0</w:t>
            </w:r>
          </w:p>
        </w:tc>
        <w:tc>
          <w:p>
            <w:pPr>
              <w:pStyle w:val="Compact"/>
              <w:jc w:val="left"/>
            </w:pPr>
            <w:r>
              <w:t xml:space="preserve">2,0</w:t>
            </w:r>
          </w:p>
        </w:tc>
        <w:tc>
          <w:p>
            <w:pPr>
              <w:pStyle w:val="Compact"/>
              <w:jc w:val="left"/>
            </w:pPr>
            <w:r>
              <w:t xml:space="preserve">3,0</w:t>
            </w:r>
          </w:p>
        </w:tc>
        <w:tc>
          <w:p>
            <w:pPr>
              <w:pStyle w:val="Compact"/>
              <w:jc w:val="left"/>
            </w:pPr>
            <w:r>
              <w:t xml:space="preserve">4,0</w:t>
            </w:r>
          </w:p>
        </w:tc>
        <w:tc>
          <w:p>
            <w:pPr>
              <w:pStyle w:val="Compact"/>
              <w:jc w:val="left"/>
            </w:pPr>
            <w:r>
              <w:t xml:space="preserve">4,0</w:t>
            </w:r>
          </w:p>
        </w:tc>
        <w:tc>
          <w:p>
            <w:pPr>
              <w:pStyle w:val="Compact"/>
              <w:jc w:val="left"/>
            </w:pPr>
            <w:r>
              <w:t xml:space="preserve">14,0</w:t>
            </w:r>
          </w:p>
        </w:tc>
      </w:tr>
      <w:tr>
        <w:tc>
          <w:p>
            <w:pPr>
              <w:pStyle w:val="Compact"/>
              <w:jc w:val="left"/>
            </w:pPr>
            <w:r>
              <w:t xml:space="preserve">Partnerships internacionales y movilidad</w:t>
            </w:r>
          </w:p>
        </w:tc>
        <w:tc>
          <w:p>
            <w:pPr>
              <w:pStyle w:val="Compact"/>
              <w:jc w:val="left"/>
            </w:pPr>
            <w:r>
              <w:t xml:space="preserve">0,5</w:t>
            </w:r>
          </w:p>
        </w:tc>
        <w:tc>
          <w:p>
            <w:pPr>
              <w:pStyle w:val="Compact"/>
              <w:jc w:val="left"/>
            </w:pPr>
            <w:r>
              <w:t xml:space="preserve">1,0</w:t>
            </w:r>
          </w:p>
        </w:tc>
        <w:tc>
          <w:p>
            <w:pPr>
              <w:pStyle w:val="Compact"/>
              <w:jc w:val="left"/>
            </w:pPr>
            <w:r>
              <w:t xml:space="preserve">1,5</w:t>
            </w:r>
          </w:p>
        </w:tc>
        <w:tc>
          <w:p>
            <w:pPr>
              <w:pStyle w:val="Compact"/>
              <w:jc w:val="left"/>
            </w:pPr>
            <w:r>
              <w:t xml:space="preserve">1,5</w:t>
            </w:r>
          </w:p>
        </w:tc>
        <w:tc>
          <w:p>
            <w:pPr>
              <w:pStyle w:val="Compact"/>
              <w:jc w:val="left"/>
            </w:pPr>
            <w:r>
              <w:t xml:space="preserve">1,5</w:t>
            </w:r>
          </w:p>
        </w:tc>
        <w:tc>
          <w:p>
            <w:pPr>
              <w:pStyle w:val="Compact"/>
              <w:jc w:val="left"/>
            </w:pPr>
            <w:r>
              <w:t xml:space="preserve">6,0</w:t>
            </w:r>
          </w:p>
        </w:tc>
      </w:tr>
      <w:tr>
        <w:tc>
          <w:p>
            <w:pPr>
              <w:pStyle w:val="Compact"/>
              <w:jc w:val="left"/>
            </w:pPr>
            <w:r>
              <w:t xml:space="preserve">Overhead administrativo</w:t>
            </w:r>
          </w:p>
        </w:tc>
        <w:tc>
          <w:p>
            <w:pPr>
              <w:pStyle w:val="Compact"/>
              <w:jc w:val="left"/>
            </w:pPr>
            <w:r>
              <w:t xml:space="preserve">0,5</w:t>
            </w:r>
          </w:p>
        </w:tc>
        <w:tc>
          <w:p>
            <w:pPr>
              <w:pStyle w:val="Compact"/>
              <w:jc w:val="left"/>
            </w:pPr>
            <w:r>
              <w:t xml:space="preserve">0,5</w:t>
            </w:r>
          </w:p>
        </w:tc>
        <w:tc>
          <w:p>
            <w:pPr>
              <w:pStyle w:val="Compact"/>
              <w:jc w:val="left"/>
            </w:pPr>
            <w:r>
              <w:t xml:space="preserve">0,8</w:t>
            </w:r>
          </w:p>
        </w:tc>
        <w:tc>
          <w:p>
            <w:pPr>
              <w:pStyle w:val="Compact"/>
              <w:jc w:val="left"/>
            </w:pPr>
            <w:r>
              <w:t xml:space="preserve">0,8</w:t>
            </w:r>
          </w:p>
        </w:tc>
        <w:tc>
          <w:p>
            <w:pPr>
              <w:pStyle w:val="Compact"/>
              <w:jc w:val="left"/>
            </w:pPr>
            <w:r>
              <w:t xml:space="preserve">0,8</w:t>
            </w:r>
          </w:p>
        </w:tc>
        <w:tc>
          <w:p>
            <w:pPr>
              <w:pStyle w:val="Compact"/>
              <w:jc w:val="left"/>
            </w:pPr>
            <w:r>
              <w:t xml:space="preserve">3,4</w:t>
            </w:r>
          </w:p>
        </w:tc>
      </w:tr>
      <w:tr>
        <w:tc>
          <w:p>
            <w:pPr>
              <w:pStyle w:val="Compact"/>
              <w:jc w:val="left"/>
            </w:pPr>
            <w:r>
              <w:rPr>
                <w:b/>
              </w:rPr>
              <w:t xml:space="preserve">Total anual (millones USD)</w:t>
            </w:r>
          </w:p>
        </w:tc>
        <w:tc>
          <w:p>
            <w:pPr>
              <w:pStyle w:val="Compact"/>
              <w:jc w:val="left"/>
            </w:pPr>
            <w:r>
              <w:rPr>
                <w:b/>
              </w:rPr>
              <w:t xml:space="preserve">49,0</w:t>
            </w:r>
          </w:p>
        </w:tc>
        <w:tc>
          <w:p>
            <w:pPr>
              <w:pStyle w:val="Compact"/>
              <w:jc w:val="left"/>
            </w:pPr>
            <w:r>
              <w:rPr>
                <w:b/>
              </w:rPr>
              <w:t xml:space="preserve">12,5</w:t>
            </w:r>
          </w:p>
        </w:tc>
        <w:tc>
          <w:p>
            <w:pPr>
              <w:pStyle w:val="Compact"/>
              <w:jc w:val="left"/>
            </w:pPr>
            <w:r>
              <w:rPr>
                <w:b/>
              </w:rPr>
              <w:t xml:space="preserve">17,3</w:t>
            </w:r>
          </w:p>
        </w:tc>
        <w:tc>
          <w:p>
            <w:pPr>
              <w:pStyle w:val="Compact"/>
              <w:jc w:val="left"/>
            </w:pPr>
            <w:r>
              <w:rPr>
                <w:b/>
              </w:rPr>
              <w:t xml:space="preserve">18,8</w:t>
            </w:r>
          </w:p>
        </w:tc>
        <w:tc>
          <w:p>
            <w:pPr>
              <w:pStyle w:val="Compact"/>
              <w:jc w:val="left"/>
            </w:pPr>
            <w:r>
              <w:rPr>
                <w:b/>
              </w:rPr>
              <w:t xml:space="preserve">19,3</w:t>
            </w:r>
          </w:p>
        </w:tc>
        <w:tc>
          <w:p>
            <w:pPr>
              <w:pStyle w:val="Compact"/>
              <w:jc w:val="left"/>
            </w:pPr>
            <w:r>
              <w:rPr>
                <w:b/>
              </w:rPr>
              <w:t xml:space="preserve">116,9</w:t>
            </w:r>
          </w:p>
        </w:tc>
      </w:tr>
    </w:tbl>
    <w:p>
      <w:pPr>
        <w:pStyle w:val="BodyText"/>
      </w:pPr>
      <w:r>
        <w:rPr>
          <w:b/>
        </w:rPr>
        <w:t xml:space="preserve">Inversión total en 5 años: USD 117 millones</w:t>
      </w:r>
      <w:r>
        <w:t xml:space="preserve"> </w:t>
      </w:r>
      <w:r>
        <w:t xml:space="preserve">(equivalente al 0,018% del PBI argentino acumulado en el período).</w:t>
      </w:r>
    </w:p>
    <w:p>
      <w:pPr>
        <w:pStyle w:val="Heading3"/>
      </w:pPr>
      <w:bookmarkStart w:id="38" w:name="financiamiento-de-dónde-sale-cada-peso"/>
      <w:r>
        <w:t xml:space="preserve">Financiamiento: de dónde sale cada peso</w:t>
      </w:r>
      <w:bookmarkEnd w:id="38"/>
    </w:p>
    <w:tbl>
      <w:tblPr>
        <w:tblStyle w:val="Table"/>
        <w:tblW w:type="pct" w:w="5000.0"/>
        <w:tblLook w:firstRow="1"/>
      </w:tblPr>
      <w:tblGrid>
        <w:gridCol w:w="1712"/>
        <w:gridCol w:w="642"/>
        <w:gridCol w:w="3210"/>
        <w:gridCol w:w="2354"/>
      </w:tblGrid>
      <w:tr>
        <w:trPr>
          <w:cnfStyle w:firstRow="1"/>
        </w:trPr>
        <w:tc>
          <w:tcPr>
            <w:tcBorders>
              <w:bottom w:val="single"/>
            </w:tcBorders>
            <w:vAlign w:val="bottom"/>
          </w:tcPr>
          <w:p>
            <w:pPr>
              <w:pStyle w:val="Compact"/>
              <w:jc w:val="left"/>
            </w:pPr>
            <w:r>
              <w:t xml:space="preserve">Fuente</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Monto (USD M)</w:t>
            </w:r>
          </w:p>
        </w:tc>
        <w:tc>
          <w:tcPr>
            <w:tcBorders>
              <w:bottom w:val="single"/>
            </w:tcBorders>
            <w:vAlign w:val="bottom"/>
          </w:tcPr>
          <w:p>
            <w:pPr>
              <w:pStyle w:val="Compact"/>
              <w:jc w:val="left"/>
            </w:pPr>
            <w:r>
              <w:t xml:space="preserve">Mecanismo</w:t>
            </w:r>
          </w:p>
        </w:tc>
      </w:tr>
      <w:tr>
        <w:tc>
          <w:p>
            <w:pPr>
              <w:pStyle w:val="Compact"/>
              <w:jc w:val="left"/>
            </w:pPr>
            <w:r>
              <w:t xml:space="preserve">Estado argentino (CONICET + Min. Salud + Min. CyT)</w:t>
            </w:r>
          </w:p>
        </w:tc>
        <w:tc>
          <w:p>
            <w:pPr>
              <w:pStyle w:val="Compact"/>
              <w:jc w:val="left"/>
            </w:pPr>
            <w:r>
              <w:t xml:space="preserve">30%</w:t>
            </w:r>
          </w:p>
        </w:tc>
        <w:tc>
          <w:p>
            <w:pPr>
              <w:pStyle w:val="Compact"/>
              <w:jc w:val="left"/>
            </w:pPr>
            <w:r>
              <w:t xml:space="preserve">35,1</w:t>
            </w:r>
          </w:p>
        </w:tc>
        <w:tc>
          <w:p>
            <w:pPr>
              <w:pStyle w:val="Compact"/>
              <w:jc w:val="left"/>
            </w:pPr>
            <w:r>
              <w:t xml:space="preserve">Presupuesto nacional con protección legislativa (ley de financiamiento científico a 10 años)</w:t>
            </w:r>
          </w:p>
        </w:tc>
      </w:tr>
      <w:tr>
        <w:tc>
          <w:p>
            <w:pPr>
              <w:pStyle w:val="Compact"/>
              <w:jc w:val="left"/>
            </w:pPr>
            <w:r>
              <w:t xml:space="preserve">Fundaciones internacionales</w:t>
            </w:r>
          </w:p>
        </w:tc>
        <w:tc>
          <w:p>
            <w:pPr>
              <w:pStyle w:val="Compact"/>
              <w:jc w:val="left"/>
            </w:pPr>
            <w:r>
              <w:t xml:space="preserve">25%</w:t>
            </w:r>
          </w:p>
        </w:tc>
        <w:tc>
          <w:p>
            <w:pPr>
              <w:pStyle w:val="Compact"/>
              <w:jc w:val="left"/>
            </w:pPr>
            <w:r>
              <w:t xml:space="preserve">29,2</w:t>
            </w:r>
          </w:p>
        </w:tc>
        <w:tc>
          <w:p>
            <w:pPr>
              <w:pStyle w:val="Compact"/>
              <w:jc w:val="left"/>
            </w:pPr>
            <w:r>
              <w:t xml:space="preserve">Wellcome Trust, Gates Foundation, Chan-Zuckerberg Initiative, Novo Nordisk Foundation. Todas financian investigación médica en países de ingresos medios. El biobank y el enfoque en enfermedades desatendidas son especialmente atractivos para estas fundaciones.</w:t>
            </w:r>
          </w:p>
        </w:tc>
      </w:tr>
      <w:tr>
        <w:tc>
          <w:p>
            <w:pPr>
              <w:pStyle w:val="Compact"/>
              <w:jc w:val="left"/>
            </w:pPr>
            <w:r>
              <w:t xml:space="preserve">Organismos multilaterales</w:t>
            </w:r>
          </w:p>
        </w:tc>
        <w:tc>
          <w:p>
            <w:pPr>
              <w:pStyle w:val="Compact"/>
              <w:jc w:val="left"/>
            </w:pPr>
            <w:r>
              <w:t xml:space="preserve">20%</w:t>
            </w:r>
          </w:p>
        </w:tc>
        <w:tc>
          <w:p>
            <w:pPr>
              <w:pStyle w:val="Compact"/>
              <w:jc w:val="left"/>
            </w:pPr>
            <w:r>
              <w:t xml:space="preserve">23,4</w:t>
            </w:r>
          </w:p>
        </w:tc>
        <w:tc>
          <w:p>
            <w:pPr>
              <w:pStyle w:val="Compact"/>
              <w:jc w:val="left"/>
            </w:pPr>
            <w:r>
              <w:t xml:space="preserve">BID, Banco Mundial, CAF. Préstamos blandos para infraestructura científica. El BID ya financia proyectos de innovación en salud en la región.</w:t>
            </w:r>
          </w:p>
        </w:tc>
      </w:tr>
      <w:tr>
        <w:tc>
          <w:p>
            <w:pPr>
              <w:pStyle w:val="Compact"/>
              <w:jc w:val="left"/>
            </w:pPr>
            <w:r>
              <w:t xml:space="preserve">Alianzas farmacéuticas</w:t>
            </w:r>
          </w:p>
        </w:tc>
        <w:tc>
          <w:p>
            <w:pPr>
              <w:pStyle w:val="Compact"/>
              <w:jc w:val="left"/>
            </w:pPr>
            <w:r>
              <w:t xml:space="preserve">15%</w:t>
            </w:r>
          </w:p>
        </w:tc>
        <w:tc>
          <w:p>
            <w:pPr>
              <w:pStyle w:val="Compact"/>
              <w:jc w:val="left"/>
            </w:pPr>
            <w:r>
              <w:t xml:space="preserve">17,5</w:t>
            </w:r>
          </w:p>
        </w:tc>
        <w:tc>
          <w:p>
            <w:pPr>
              <w:pStyle w:val="Compact"/>
              <w:jc w:val="left"/>
            </w:pPr>
            <w:r>
              <w:t xml:space="preserve">Modelo Isomorphic Labs: acuerdos de investigación colaborativa con farmacéuticas globales. Argentina ofrece: datos genómicos únicos de poblaciones mestizas, costos operativos menores, talento de alta calidad. A cambio: financiamiento + acceso a tecnologías + pathway regulatorio acelerado.</w:t>
            </w:r>
          </w:p>
        </w:tc>
      </w:tr>
      <w:tr>
        <w:tc>
          <w:p>
            <w:pPr>
              <w:pStyle w:val="Compact"/>
              <w:jc w:val="left"/>
            </w:pPr>
            <w:r>
              <w:t xml:space="preserve">Sector privado argentino</w:t>
            </w:r>
          </w:p>
        </w:tc>
        <w:tc>
          <w:p>
            <w:pPr>
              <w:pStyle w:val="Compact"/>
              <w:jc w:val="left"/>
            </w:pPr>
            <w:r>
              <w:t xml:space="preserve">10%</w:t>
            </w:r>
          </w:p>
        </w:tc>
        <w:tc>
          <w:p>
            <w:pPr>
              <w:pStyle w:val="Compact"/>
              <w:jc w:val="left"/>
            </w:pPr>
            <w:r>
              <w:t xml:space="preserve">11,7</w:t>
            </w:r>
          </w:p>
        </w:tc>
        <w:tc>
          <w:p>
            <w:pPr>
              <w:pStyle w:val="Compact"/>
              <w:jc w:val="left"/>
            </w:pPr>
            <w:r>
              <w:t xml:space="preserve">Contribuciones de empresas tech (Globant, MercadoLibre, Ualá) y biotech (mAbxience, Biosidus) vía beneficios fiscales, CSR, y participación en proyectos aplicados.</w:t>
            </w:r>
          </w:p>
        </w:tc>
      </w:tr>
    </w:tbl>
    <w:p>
      <w:pPr>
        <w:pStyle w:val="Heading3"/>
      </w:pPr>
      <w:bookmarkStart w:id="39" w:name="X3225aba20cbbd21ee54388b487e477b7a34c3e1"/>
      <w:r>
        <w:t xml:space="preserve">Gobernanza: cómo protegerlo de los vaivenes políticos</w:t>
      </w:r>
      <w:bookmarkEnd w:id="39"/>
    </w:p>
    <w:p>
      <w:pPr>
        <w:pStyle w:val="FirstParagraph"/>
      </w:pPr>
      <w:r>
        <w:t xml:space="preserve">El mayor riesgo no es técnico ni financiero — es político. Argentina tiene historia de crear instituciones científicas brillantes y luego desfinanciarlas cuando cambia el gobierno.</w:t>
      </w:r>
    </w:p>
    <w:p>
      <w:pPr>
        <w:pStyle w:val="BodyText"/>
      </w:pPr>
      <w:r>
        <w:rPr>
          <w:b/>
        </w:rPr>
        <w:t xml:space="preserve">Estructura propuesta:</w:t>
      </w:r>
      <w:r>
        <w:t xml:space="preserve"> </w:t>
      </w:r>
      <w:r>
        <w:t xml:space="preserve">Ente autárquico mixto, similar al modelo del CERN o del Observatorio Pierre Auger (que funciona en Mendoza desde hace años con financiamiento internacional).</w:t>
      </w:r>
    </w:p>
    <w:p>
      <w:pPr>
        <w:pStyle w:val="BodyText"/>
      </w:pPr>
      <w:r>
        <w:rPr>
          <w:b/>
        </w:rPr>
        <w:t xml:space="preserve">Mecanismos de protección:</w:t>
      </w:r>
      <w:r>
        <w:t xml:space="preserve"> </w:t>
      </w:r>
      <w:r>
        <w:t xml:space="preserve">-</w:t>
      </w:r>
      <w:r>
        <w:t xml:space="preserve"> </w:t>
      </w:r>
      <w:r>
        <w:rPr>
          <w:b/>
        </w:rPr>
        <w:t xml:space="preserve">Consejo directivo internacional:</w:t>
      </w:r>
      <w:r>
        <w:t xml:space="preserve"> </w:t>
      </w:r>
      <w:r>
        <w:t xml:space="preserve">5 miembros argentinos + 4 internacionales (uno por cada fundación financiadora principal). Las decisiones científicas requieren mayoría simple; el cierre o cambio de misión requiere unanimidad.</w:t>
      </w:r>
      <w:r>
        <w:t xml:space="preserve"> </w:t>
      </w:r>
      <w:r>
        <w:t xml:space="preserve">-</w:t>
      </w:r>
      <w:r>
        <w:t xml:space="preserve"> </w:t>
      </w:r>
      <w:r>
        <w:rPr>
          <w:b/>
        </w:rPr>
        <w:t xml:space="preserve">Ley de financiamiento a 10 años:</w:t>
      </w:r>
      <w:r>
        <w:t xml:space="preserve"> </w:t>
      </w:r>
      <w:r>
        <w:t xml:space="preserve">Presupuesto protegido por ley, no sujeto a recortes anuales. Modelo: la Ley de Financiamiento Educativo que Argentina aprobó en 2005 (aunque luego incumplió — la diferencia es que aquí hay co-financiadores internacionales que condicionan sus aportes al cumplimiento estatal).</w:t>
      </w:r>
      <w:r>
        <w:t xml:space="preserve"> </w:t>
      </w:r>
      <w:r>
        <w:t xml:space="preserve">-</w:t>
      </w:r>
      <w:r>
        <w:t xml:space="preserve"> </w:t>
      </w:r>
      <w:r>
        <w:rPr>
          <w:b/>
        </w:rPr>
        <w:t xml:space="preserve">Transparencia radical:</w:t>
      </w:r>
      <w:r>
        <w:t xml:space="preserve"> </w:t>
      </w:r>
      <w:r>
        <w:t xml:space="preserve">Publicación trimestral de avances, gastos y resultados. Auditoría externa anual. Todo paper publicado en acceso abierto.</w:t>
      </w:r>
      <w:r>
        <w:t xml:space="preserve"> </w:t>
      </w:r>
      <w:r>
        <w:t xml:space="preserve">-</w:t>
      </w:r>
      <w:r>
        <w:t xml:space="preserve"> </w:t>
      </w:r>
      <w:r>
        <w:rPr>
          <w:b/>
        </w:rPr>
        <w:t xml:space="preserve">Cláusula de continuidad:</w:t>
      </w:r>
      <w:r>
        <w:t xml:space="preserve"> </w:t>
      </w:r>
      <w:r>
        <w:t xml:space="preserve">Si el Estado incumple su parte (30%), los co-financiadores internacionales tienen derecho a redirigir fondos a instituciones argentinas alternativas (Leloir, UBA, CONICET) para mantener los proyectos vivos.</w:t>
      </w:r>
    </w:p>
    <w:p>
      <w:r>
        <w:pict>
          <v:rect style="width:0;height:1.5pt" o:hralign="center" o:hrstd="t" o:hr="t"/>
        </w:pict>
      </w:r>
    </w:p>
    <w:p>
      <w:pPr>
        <w:pStyle w:val="Heading2"/>
      </w:pPr>
      <w:bookmarkStart w:id="40" w:name="X3da05af2b94aab2d0d21656d15401c568c0c888"/>
      <w:r>
        <w:t xml:space="preserve">Programa de repatriación:</w:t>
      </w:r>
      <w:r>
        <w:t xml:space="preserve"> </w:t>
      </w:r>
      <w:r>
        <w:t xml:space="preserve">“</w:t>
      </w:r>
      <w:r>
        <w:t xml:space="preserve">Volvé a investigar</w:t>
      </w:r>
      <w:r>
        <w:t xml:space="preserve">”</w:t>
      </w:r>
      <w:bookmarkEnd w:id="40"/>
    </w:p>
    <w:p>
      <w:pPr>
        <w:pStyle w:val="FirstParagraph"/>
      </w:pPr>
      <w:r>
        <w:t xml:space="preserve">CAITMA incluye un programa activo de repatriación y colaboración con científicos argentinos en el exterior.</w:t>
      </w:r>
    </w:p>
    <w:p>
      <w:pPr>
        <w:pStyle w:val="BodyText"/>
      </w:pPr>
      <w:r>
        <w:rPr>
          <w:b/>
        </w:rPr>
        <w:t xml:space="preserve">Modalidades:</w:t>
      </w:r>
      <w:r>
        <w:t xml:space="preserve"> </w:t>
      </w:r>
      <w:r>
        <w:t xml:space="preserve">-</w:t>
      </w:r>
      <w:r>
        <w:t xml:space="preserve"> </w:t>
      </w:r>
      <w:r>
        <w:rPr>
          <w:b/>
        </w:rPr>
        <w:t xml:space="preserve">Retorno completo:</w:t>
      </w:r>
      <w:r>
        <w:t xml:space="preserve"> </w:t>
      </w:r>
      <w:r>
        <w:t xml:space="preserve">Posición a tiempo completo en CAITMA con salario competitivo + paquete de instalación (vivienda temporal, mudanza, escolaridad de hijos). Meta: 15 investigadores repatriados en 5 años.</w:t>
      </w:r>
      <w:r>
        <w:t xml:space="preserve"> </w:t>
      </w:r>
      <w:r>
        <w:t xml:space="preserve">-</w:t>
      </w:r>
      <w:r>
        <w:t xml:space="preserve"> </w:t>
      </w:r>
      <w:r>
        <w:rPr>
          <w:b/>
        </w:rPr>
        <w:t xml:space="preserve">Co-dirección remota:</w:t>
      </w:r>
      <w:r>
        <w:t xml:space="preserve"> </w:t>
      </w:r>
      <w:r>
        <w:t xml:space="preserve">Investigadores que mantienen su posición en el exterior pero co-dirigen líneas de investigación en CAITMA (20% de su tiempo). Meta: 20 colaboradores remotos.</w:t>
      </w:r>
      <w:r>
        <w:t xml:space="preserve"> </w:t>
      </w:r>
      <w:r>
        <w:t xml:space="preserve">-</w:t>
      </w:r>
      <w:r>
        <w:t xml:space="preserve"> </w:t>
      </w:r>
      <w:r>
        <w:rPr>
          <w:b/>
        </w:rPr>
        <w:t xml:space="preserve">Estancias sabáticas:</w:t>
      </w:r>
      <w:r>
        <w:t xml:space="preserve"> </w:t>
      </w:r>
      <w:r>
        <w:t xml:space="preserve">Investigadores establecidos que pasan 3-6 meses en CAITMA trabajando en proyectos específicos. Meta: 10 estancias por año a partir del año 3.</w:t>
      </w:r>
      <w:r>
        <w:t xml:space="preserve"> </w:t>
      </w:r>
      <w:r>
        <w:t xml:space="preserve">-</w:t>
      </w:r>
      <w:r>
        <w:t xml:space="preserve"> </w:t>
      </w:r>
      <w:r>
        <w:rPr>
          <w:b/>
        </w:rPr>
        <w:t xml:space="preserve">Red de mentores:</w:t>
      </w:r>
      <w:r>
        <w:t xml:space="preserve"> </w:t>
      </w:r>
      <w:r>
        <w:t xml:space="preserve">Científicos argentinos senior en el exterior que mentorean a investigadores junior de CAITMA. Meta: 30 relaciones de mentoría activas.</w:t>
      </w:r>
    </w:p>
    <w:p>
      <w:pPr>
        <w:pStyle w:val="BodyText"/>
      </w:pPr>
      <w:r>
        <w:rPr>
          <w:b/>
        </w:rPr>
        <w:t xml:space="preserve">Costo del programa:</w:t>
      </w:r>
      <w:r>
        <w:t xml:space="preserve"> </w:t>
      </w:r>
      <w:r>
        <w:t xml:space="preserve">Incluido en el presupuesto de</w:t>
      </w:r>
      <w:r>
        <w:t xml:space="preserve"> </w:t>
      </w:r>
      <w:r>
        <w:t xml:space="preserve">“</w:t>
      </w:r>
      <w:r>
        <w:t xml:space="preserve">Partnerships internacionales y movilidad</w:t>
      </w:r>
      <w:r>
        <w:t xml:space="preserve">”</w:t>
      </w:r>
      <w:r>
        <w:t xml:space="preserve"> </w:t>
      </w:r>
      <w:r>
        <w:t xml:space="preserve">(USD 6M en 5 años).</w:t>
      </w:r>
    </w:p>
    <w:p>
      <w:r>
        <w:pict>
          <v:rect style="width:0;height:1.5pt" o:hralign="center" o:hrstd="t" o:hr="t"/>
        </w:pict>
      </w:r>
    </w:p>
    <w:p>
      <w:pPr>
        <w:pStyle w:val="Heading2"/>
      </w:pPr>
      <w:bookmarkStart w:id="41" w:name="Xbc97f9831ca3e8642fa73c5a48efe6269ac5d93"/>
      <w:r>
        <w:t xml:space="preserve">Qué se puede lograr realistamente en 5 años</w:t>
      </w:r>
      <w:bookmarkEnd w:id="41"/>
    </w:p>
    <w:p>
      <w:pPr>
        <w:pStyle w:val="FirstParagraph"/>
      </w:pPr>
      <w:r>
        <w:t xml:space="preserve">No vamos a curar el cáncer en 5 años. Pero podemos lograr cosas que cambien vidas y posicionen a Argentina como referente:</w:t>
      </w:r>
    </w:p>
    <w:p>
      <w:pPr>
        <w:pStyle w:val="Heading3"/>
      </w:pPr>
      <w:bookmarkStart w:id="42" w:name="X281df9c6c4a0d76044c5e0cfb3b870ccc18ae96"/>
      <w:r>
        <w:t xml:space="preserve">Escenario realista por línea de investigación</w:t>
      </w:r>
      <w:bookmarkEnd w:id="42"/>
    </w:p>
    <w:p>
      <w:pPr>
        <w:pStyle w:val="FirstParagraph"/>
      </w:pPr>
      <w:r>
        <w:rPr>
          <w:b/>
        </w:rPr>
        <w:t xml:space="preserve">Enfermedades desatendidas (Línea 1):</w:t>
      </w:r>
      <w:r>
        <w:t xml:space="preserve"> </w:t>
      </w:r>
      <w:r>
        <w:t xml:space="preserve">- 3-5 candidatos a reposicionamiento de fármacos identificados por IA para Chagas y dengue grave</w:t>
      </w:r>
      <w:r>
        <w:t xml:space="preserve"> </w:t>
      </w:r>
      <w:r>
        <w:t xml:space="preserve">- Al menos 1 candidato en ensayos preclínicos</w:t>
      </w:r>
      <w:r>
        <w:t xml:space="preserve"> </w:t>
      </w:r>
      <w:r>
        <w:t xml:space="preserve">- Herramientas de IA para predicción de brotes de dengue integradas al sistema de vigilancia epidemiológica</w:t>
      </w:r>
      <w:r>
        <w:t xml:space="preserve"> </w:t>
      </w:r>
      <w:r>
        <w:t xml:space="preserve">- 10+ publicaciones en journals de alto impacto</w:t>
      </w:r>
    </w:p>
    <w:p>
      <w:pPr>
        <w:pStyle w:val="BodyText"/>
      </w:pPr>
      <w:r>
        <w:rPr>
          <w:b/>
        </w:rPr>
        <w:t xml:space="preserve">Oncología (Línea 2):</w:t>
      </w:r>
      <w:r>
        <w:t xml:space="preserve"> </w:t>
      </w:r>
      <w:r>
        <w:t xml:space="preserve">- Prototipo funcional de plataforma de detección temprana multi-cáncer adaptada a población argentina</w:t>
      </w:r>
      <w:r>
        <w:t xml:space="preserve"> </w:t>
      </w:r>
      <w:r>
        <w:t xml:space="preserve">- Modelos computacionales de optimización de CAR-T validados in vitro</w:t>
      </w:r>
      <w:r>
        <w:t xml:space="preserve"> </w:t>
      </w:r>
      <w:r>
        <w:t xml:space="preserve">- Colaboración activa con al menos 2 centros internacionales de referencia en vacunas mRNA</w:t>
      </w:r>
    </w:p>
    <w:p>
      <w:pPr>
        <w:pStyle w:val="BodyText"/>
      </w:pPr>
      <w:r>
        <w:rPr>
          <w:b/>
        </w:rPr>
        <w:t xml:space="preserve">Neurodegeneración (Línea 3):</w:t>
      </w:r>
      <w:r>
        <w:t xml:space="preserve"> </w:t>
      </w:r>
      <w:r>
        <w:t xml:space="preserve">- Herramientas de detección temprana de Alzheimer validadas en población argentina (biomarcadores digitales)</w:t>
      </w:r>
      <w:r>
        <w:t xml:space="preserve"> </w:t>
      </w:r>
      <w:r>
        <w:t xml:space="preserve">- Modelos de gemelo digital para progresión de ELA publicados</w:t>
      </w:r>
      <w:r>
        <w:t xml:space="preserve"> </w:t>
      </w:r>
      <w:r>
        <w:t xml:space="preserve">- Base de datos neurodegenerativa argentina (sub-set del Biobank)</w:t>
      </w:r>
    </w:p>
    <w:p>
      <w:pPr>
        <w:pStyle w:val="BodyText"/>
      </w:pPr>
      <w:r>
        <w:rPr>
          <w:b/>
        </w:rPr>
        <w:t xml:space="preserve">Autismo (Línea 4):</w:t>
      </w:r>
      <w:r>
        <w:t xml:space="preserve"> </w:t>
      </w:r>
      <w:r>
        <w:t xml:space="preserve">- Plataforma de screening temprano por video + IA desplegada en 500+ centros de salud</w:t>
      </w:r>
      <w:r>
        <w:t xml:space="preserve"> </w:t>
      </w:r>
      <w:r>
        <w:t xml:space="preserve">- Reducción del tiempo promedio de diagnóstico de 3 años a menos de 6 meses en zonas cubiertas</w:t>
      </w:r>
      <w:r>
        <w:t xml:space="preserve"> </w:t>
      </w:r>
      <w:r>
        <w:t xml:space="preserve">- Kit de herramientas de comunicación asistida por IA disponible gratuitamente</w:t>
      </w:r>
    </w:p>
    <w:p>
      <w:pPr>
        <w:pStyle w:val="BodyText"/>
      </w:pPr>
      <w:r>
        <w:rPr>
          <w:b/>
        </w:rPr>
        <w:t xml:space="preserve">Enfermedades autoinmunes y cardiovasculares (Línea 5):</w:t>
      </w:r>
      <w:r>
        <w:t xml:space="preserve"> </w:t>
      </w:r>
      <w:r>
        <w:t xml:space="preserve">- Modelos predictivos de riesgo cardiovascular calibrados para población argentina</w:t>
      </w:r>
      <w:r>
        <w:t xml:space="preserve"> </w:t>
      </w:r>
      <w:r>
        <w:t xml:space="preserve">- 2-3 candidatos a reposicionamiento para lupus/EM identificados</w:t>
      </w:r>
    </w:p>
    <w:p>
      <w:pPr>
        <w:pStyle w:val="BodyText"/>
      </w:pPr>
      <w:r>
        <w:rPr>
          <w:b/>
        </w:rPr>
        <w:t xml:space="preserve">Biobank:</w:t>
      </w:r>
      <w:r>
        <w:t xml:space="preserve"> </w:t>
      </w:r>
      <w:r>
        <w:t xml:space="preserve">- 100.000 muestras con datos genómicos, clínicos y epidemiológicos</w:t>
      </w:r>
      <w:r>
        <w:t xml:space="preserve"> </w:t>
      </w:r>
      <w:r>
        <w:t xml:space="preserve">- Acceso a investigadores nacionales e internacionales bajo estándares éticos rigurosos</w:t>
      </w:r>
      <w:r>
        <w:t xml:space="preserve"> </w:t>
      </w:r>
      <w:r>
        <w:t xml:space="preserve">- Primer retorno de reportes genéticos personalizados a participantes (modelo Estonia)</w:t>
      </w:r>
    </w:p>
    <w:p>
      <w:pPr>
        <w:pStyle w:val="BodyText"/>
      </w:pPr>
      <w:r>
        <w:rPr>
          <w:b/>
        </w:rPr>
        <w:t xml:space="preserve">Impacto institucional:</w:t>
      </w:r>
      <w:r>
        <w:t xml:space="preserve"> </w:t>
      </w:r>
      <w:r>
        <w:t xml:space="preserve">- 65-75 empleos directos de alta calificación</w:t>
      </w:r>
      <w:r>
        <w:t xml:space="preserve"> </w:t>
      </w:r>
      <w:r>
        <w:t xml:space="preserve">- 200+ empleos indirectos (laboratorios, servicios, proveedores)</w:t>
      </w:r>
      <w:r>
        <w:t xml:space="preserve"> </w:t>
      </w:r>
      <w:r>
        <w:t xml:space="preserve">- 50+ publicaciones científicas</w:t>
      </w:r>
      <w:r>
        <w:t xml:space="preserve"> </w:t>
      </w:r>
      <w:r>
        <w:t xml:space="preserve">- 15+ científicos repatriados</w:t>
      </w:r>
      <w:r>
        <w:t xml:space="preserve"> </w:t>
      </w:r>
      <w:r>
        <w:t xml:space="preserve">- 5+ patentes en trámite</w:t>
      </w:r>
      <w:r>
        <w:t xml:space="preserve"> </w:t>
      </w:r>
      <w:r>
        <w:t xml:space="preserve">- Argentina como sede del primer centro de IA médica de referencia en América Latina</w:t>
      </w:r>
    </w:p>
    <w:p>
      <w:r>
        <w:pict>
          <v:rect style="width:0;height:1.5pt" o:hralign="center" o:hrstd="t" o:hr="t"/>
        </w:pict>
      </w:r>
    </w:p>
    <w:p>
      <w:pPr>
        <w:pStyle w:val="Heading2"/>
      </w:pPr>
      <w:bookmarkStart w:id="43" w:name="diálogo-con-el-marco-teórico"/>
      <w:r>
        <w:t xml:space="preserve">Diálogo con el marco teórico</w:t>
      </w:r>
      <w:bookmarkEnd w:id="43"/>
    </w:p>
    <w:p>
      <w:pPr>
        <w:pStyle w:val="FirstParagraph"/>
      </w:pPr>
      <w:r>
        <w:rPr>
          <w:b/>
        </w:rPr>
        <w:t xml:space="preserve">De la economía de la dona:</w:t>
      </w:r>
      <w:r>
        <w:t xml:space="preserve"> </w:t>
      </w:r>
      <w:r>
        <w:t xml:space="preserve">CAITMA opera en el espacio seguro y justo entre el piso social (acceso a salud) y el techo ecológico. No busca crecimiento infinito del gasto en salud sino hacer más con menos — usar IA para multiplicar el impacto de cada peso invertido en investigación. El biobank es un bien común: datos compartidos para beneficio colectivo.</w:t>
      </w:r>
    </w:p>
    <w:p>
      <w:pPr>
        <w:pStyle w:val="BodyText"/>
      </w:pPr>
      <w:r>
        <w:rPr>
          <w:b/>
        </w:rPr>
        <w:t xml:space="preserve">Del Estado emprendedor:</w:t>
      </w:r>
      <w:r>
        <w:t xml:space="preserve"> </w:t>
      </w:r>
      <w:r>
        <w:t xml:space="preserve">El Estado no subsidia investigación privada — lidera una misión. CAITMA es una apuesta estratégica del Estado como primer motor de innovación, asumiendo riesgos que el sector privado no toma (enfermedades desatendidas, poblaciones sin mercado). Pero con disciplina: metas medibles, rendición de cuentas, horizonte temporal definido.</w:t>
      </w:r>
    </w:p>
    <w:p>
      <w:pPr>
        <w:pStyle w:val="BodyText"/>
      </w:pPr>
      <w:r>
        <w:rPr>
          <w:b/>
        </w:rPr>
        <w:t xml:space="preserve">De la desigualdad estructural:</w:t>
      </w:r>
      <w:r>
        <w:t xml:space="preserve"> </w:t>
      </w:r>
      <w:r>
        <w:t xml:space="preserve">Las enfermedades que mata CAITMA no son las que más preocupan a los laboratorios globales. Chagas afecta a los pobres. El hantavirus mata en la Patagonia rural. El diagnóstico tardío de autismo perjudica a familias sin acceso a especialistas en Buenos Aires. CAITMA ataca la desigualdad desde la raíz: investigar para quienes el mercado ignora.</w:t>
      </w:r>
    </w:p>
    <w:p>
      <w:pPr>
        <w:pStyle w:val="BodyText"/>
      </w:pPr>
      <w:r>
        <w:rPr>
          <w:b/>
        </w:rPr>
        <w:t xml:space="preserve">De los bienes comunes:</w:t>
      </w:r>
      <w:r>
        <w:t xml:space="preserve"> </w:t>
      </w:r>
      <w:r>
        <w:t xml:space="preserve">Todo lo que CAITMA produce se publica en acceso abierto. Las herramientas de IA, los datasets, los modelos, las plataformas de screening — todo es público. El conocimiento como bien común, no como commodity.</w:t>
      </w:r>
    </w:p>
    <w:p>
      <w:pPr>
        <w:pStyle w:val="BodyText"/>
      </w:pPr>
      <w:r>
        <w:rPr>
          <w:b/>
        </w:rPr>
        <w:t xml:space="preserve">De las transiciones justas:</w:t>
      </w:r>
      <w:r>
        <w:t xml:space="preserve"> </w:t>
      </w:r>
      <w:r>
        <w:t xml:space="preserve">CAITMA crea empleos de alta calificación en un momento en que la IA amenaza otros empleos. Es una respuesta concreta a la pregunta</w:t>
      </w:r>
      <w:r>
        <w:t xml:space="preserve"> </w:t>
      </w:r>
      <w:r>
        <w:t xml:space="preserve">“</w:t>
      </w:r>
      <w:r>
        <w:t xml:space="preserve">¿qué hacemos con la gente cuando las máquinas hacen más?</w:t>
      </w:r>
      <w:r>
        <w:t xml:space="preserve">”</w:t>
      </w:r>
      <w:r>
        <w:t xml:space="preserve">: ponemos a la gente a usar las máquinas para curar enfermedades.</w:t>
      </w:r>
    </w:p>
    <w:p>
      <w:r>
        <w:pict>
          <v:rect style="width:0;height:1.5pt" o:hralign="center" o:hrstd="t" o:hr="t"/>
        </w:pict>
      </w:r>
    </w:p>
    <w:p>
      <w:pPr>
        <w:pStyle w:val="Heading2"/>
      </w:pPr>
      <w:bookmarkStart w:id="44" w:name="por-qué-esto-no-es-un-delirio"/>
      <w:r>
        <w:t xml:space="preserve">Por qué esto no es un delirio</w:t>
      </w:r>
      <w:bookmarkEnd w:id="44"/>
    </w:p>
    <w:p>
      <w:pPr>
        <w:pStyle w:val="FirstParagraph"/>
      </w:pPr>
      <w:r>
        <w:t xml:space="preserve">Podría parecer que proponer un centro de investigación médica + IA en un país que está recortando el presupuesto científico es fantasía. Pero consideremos:</w:t>
      </w:r>
    </w:p>
    <w:p>
      <w:pPr>
        <w:pStyle w:val="BodyText"/>
      </w:pPr>
      <w:r>
        <w:rPr>
          <w:b/>
        </w:rPr>
        <w:t xml:space="preserve">USD 117 millones en 5 años</w:t>
      </w:r>
      <w:r>
        <w:t xml:space="preserve"> </w:t>
      </w:r>
      <w:r>
        <w:t xml:space="preserve">es menos de lo que Argentina gasta en una autopista mediana. Es el 0,018% del PBI acumulado del período. Es menos de lo que cuesta un solo fármaco desarrollado con métodos tradicionales.</w:t>
      </w:r>
    </w:p>
    <w:p>
      <w:pPr>
        <w:pStyle w:val="BodyText"/>
      </w:pPr>
      <w:r>
        <w:rPr>
          <w:b/>
        </w:rPr>
        <w:t xml:space="preserve">El 70% del financiamiento viene de fuentes no-estatales</w:t>
      </w:r>
      <w:r>
        <w:t xml:space="preserve"> </w:t>
      </w:r>
      <w:r>
        <w:t xml:space="preserve">— fundaciones internacionales, organismos multilaterales, alianzas farmacéuticas, sector privado. El Estado pone el 30% y obtiene un centro de clase mundial.</w:t>
      </w:r>
    </w:p>
    <w:p>
      <w:pPr>
        <w:pStyle w:val="BodyText"/>
      </w:pPr>
      <w:r>
        <w:rPr>
          <w:b/>
        </w:rPr>
        <w:t xml:space="preserve">Israel creó su programa de medicina de precisión con USD 57 millones.</w:t>
      </w:r>
      <w:r>
        <w:t xml:space="preserve"> </w:t>
      </w:r>
      <w:r>
        <w:t xml:space="preserve">Estonia construyó un biobank de clase mundial integrado en su presupuesto público. Ruanda está desplegando IA médica con USD 50 millones propuestos por Gates/OpenAI. Argentina tiene más capacidades que Ruanda y más potencial que Estonia por escala poblacional.</w:t>
      </w:r>
    </w:p>
    <w:p>
      <w:pPr>
        <w:pStyle w:val="BodyText"/>
      </w:pPr>
      <w:r>
        <w:rPr>
          <w:b/>
        </w:rPr>
        <w:t xml:space="preserve">La ventaja competitiva es real.</w:t>
      </w:r>
      <w:r>
        <w:t xml:space="preserve"> </w:t>
      </w:r>
      <w:r>
        <w:t xml:space="preserve">Las poblaciones mestizas latinoamericanas están sub-representadas en datasets genómicos globales. Las enfermedades tropicales y subtropicales tienen poca investigación. Un centro que combine IA + datos genómicos latinoamericanos + enfoque en enfermedades desatendidas ocupa un nicho que nadie más está llenando.</w:t>
      </w:r>
    </w:p>
    <w:p>
      <w:pPr>
        <w:pStyle w:val="BodyText"/>
      </w:pPr>
      <w:r>
        <w:rPr>
          <w:b/>
        </w:rPr>
        <w:t xml:space="preserve">El talento existe pero se está yendo.</w:t>
      </w:r>
      <w:r>
        <w:t xml:space="preserve"> </w:t>
      </w:r>
      <w:r>
        <w:t xml:space="preserve">El 40% de los investigadores de microbiología de la UBA busca emigrar. CAITMA puede revertir eso ofreciendo lo que los investigadores argentinos quieren: infraestructura decente, salarios dignos, proyectos con impacto, y la posibilidad de hacer ciencia de frontera sin dejar el país.</w:t>
      </w:r>
    </w:p>
    <w:p>
      <w:r>
        <w:pict>
          <v:rect style="width:0;height:1.5pt" o:hralign="center" o:hrstd="t" o:hr="t"/>
        </w:pict>
      </w:r>
    </w:p>
    <w:p>
      <w:pPr>
        <w:pStyle w:val="Heading2"/>
      </w:pPr>
      <w:bookmarkStart w:id="45" w:name="resumen-de-la-política"/>
      <w:r>
        <w:t xml:space="preserve">Resumen de la política</w:t>
      </w:r>
      <w:bookmarkEnd w:id="45"/>
    </w:p>
    <w:tbl>
      <w:tblPr>
        <w:tblStyle w:val="Table"/>
        <w:tblW w:type="pct" w:w="5000.0"/>
        <w:tblLook w:firstRow="1"/>
      </w:tblPr>
      <w:tblGrid>
        <w:gridCol w:w="4356"/>
        <w:gridCol w:w="3564"/>
      </w:tblGrid>
      <w:tr>
        <w:trPr>
          <w:cnfStyle w:firstRow="1"/>
        </w:trPr>
        <w:tc>
          <w:tcPr>
            <w:tcBorders>
              <w:bottom w:val="single"/>
            </w:tcBorders>
            <w:vAlign w:val="bottom"/>
          </w:tcPr>
          <w:p>
            <w:pPr>
              <w:pStyle w:val="Compact"/>
              <w:jc w:val="left"/>
            </w:pPr>
            <w:r>
              <w:t xml:space="preserve">Dimensión</w:t>
            </w:r>
          </w:p>
        </w:tc>
        <w:tc>
          <w:tcPr>
            <w:tcBorders>
              <w:bottom w:val="single"/>
            </w:tcBorders>
            <w:vAlign w:val="bottom"/>
          </w:tcPr>
          <w:p>
            <w:pPr>
              <w:pStyle w:val="Compact"/>
              <w:jc w:val="left"/>
            </w:pPr>
            <w:r>
              <w:t xml:space="preserve">Detalle</w:t>
            </w:r>
          </w:p>
        </w:tc>
      </w:tr>
      <w:tr>
        <w:tc>
          <w:p>
            <w:pPr>
              <w:pStyle w:val="Compact"/>
              <w:jc w:val="left"/>
            </w:pPr>
            <w:r>
              <w:rPr>
                <w:b/>
              </w:rPr>
              <w:t xml:space="preserve">Nombre</w:t>
            </w:r>
          </w:p>
        </w:tc>
        <w:tc>
          <w:p>
            <w:pPr>
              <w:pStyle w:val="Compact"/>
              <w:jc w:val="left"/>
            </w:pPr>
            <w:r>
              <w:t xml:space="preserve">CAITMA — Centro Argentino de Investigación en Terapias Médicas + AI</w:t>
            </w:r>
          </w:p>
        </w:tc>
      </w:tr>
      <w:tr>
        <w:tc>
          <w:p>
            <w:pPr>
              <w:pStyle w:val="Compact"/>
              <w:jc w:val="left"/>
            </w:pPr>
            <w:r>
              <w:rPr>
                <w:b/>
              </w:rPr>
              <w:t xml:space="preserve">Modelo</w:t>
            </w:r>
          </w:p>
        </w:tc>
        <w:tc>
          <w:p>
            <w:pPr>
              <w:pStyle w:val="Compact"/>
              <w:jc w:val="left"/>
            </w:pPr>
            <w:r>
              <w:t xml:space="preserve">Centro público-privado con gobernanza mixta y protección legislativa</w:t>
            </w:r>
          </w:p>
        </w:tc>
      </w:tr>
      <w:tr>
        <w:tc>
          <w:p>
            <w:pPr>
              <w:pStyle w:val="Compact"/>
              <w:jc w:val="left"/>
            </w:pPr>
            <w:r>
              <w:rPr>
                <w:b/>
              </w:rPr>
              <w:t xml:space="preserve">Ubicación</w:t>
            </w:r>
          </w:p>
        </w:tc>
        <w:tc>
          <w:p>
            <w:pPr>
              <w:pStyle w:val="Compact"/>
              <w:jc w:val="left"/>
            </w:pPr>
            <w:r>
              <w:t xml:space="preserve">Buenos Aires, co-localizado con Instituto Leloir</w:t>
            </w:r>
          </w:p>
        </w:tc>
      </w:tr>
      <w:tr>
        <w:tc>
          <w:p>
            <w:pPr>
              <w:pStyle w:val="Compact"/>
              <w:jc w:val="left"/>
            </w:pPr>
            <w:r>
              <w:rPr>
                <w:b/>
              </w:rPr>
              <w:t xml:space="preserve">Líneas de investigación</w:t>
            </w:r>
          </w:p>
        </w:tc>
        <w:tc>
          <w:p>
            <w:pPr>
              <w:pStyle w:val="Compact"/>
              <w:jc w:val="left"/>
            </w:pPr>
            <w:r>
              <w:t xml:space="preserve">(1) Enfermedades desatendidas, (2) Oncología de precisión, (3) Neurodegeneración, (4) Autismo/neurodivergencia, (5) Autoinmunes/cardiovasculares</w:t>
            </w:r>
          </w:p>
        </w:tc>
      </w:tr>
      <w:tr>
        <w:tc>
          <w:p>
            <w:pPr>
              <w:pStyle w:val="Compact"/>
              <w:jc w:val="left"/>
            </w:pPr>
            <w:r>
              <w:rPr>
                <w:b/>
              </w:rPr>
              <w:t xml:space="preserve">Biobank</w:t>
            </w:r>
          </w:p>
        </w:tc>
        <w:tc>
          <w:p>
            <w:pPr>
              <w:pStyle w:val="Compact"/>
              <w:jc w:val="left"/>
            </w:pPr>
            <w:r>
              <w:t xml:space="preserve">100.000 muestras en 5 años, representativas de toda la población</w:t>
            </w:r>
          </w:p>
        </w:tc>
      </w:tr>
      <w:tr>
        <w:tc>
          <w:p>
            <w:pPr>
              <w:pStyle w:val="Compact"/>
              <w:jc w:val="left"/>
            </w:pPr>
            <w:r>
              <w:rPr>
                <w:b/>
              </w:rPr>
              <w:t xml:space="preserve">Equipo</w:t>
            </w:r>
          </w:p>
        </w:tc>
        <w:tc>
          <w:p>
            <w:pPr>
              <w:pStyle w:val="Compact"/>
              <w:jc w:val="left"/>
            </w:pPr>
            <w:r>
              <w:t xml:space="preserve">40 personas (año 1) → 75 personas (año 5)</w:t>
            </w:r>
          </w:p>
        </w:tc>
      </w:tr>
      <w:tr>
        <w:tc>
          <w:p>
            <w:pPr>
              <w:pStyle w:val="Compact"/>
              <w:jc w:val="left"/>
            </w:pPr>
            <w:r>
              <w:rPr>
                <w:b/>
              </w:rPr>
              <w:t xml:space="preserve">Inversión total</w:t>
            </w:r>
          </w:p>
        </w:tc>
        <w:tc>
          <w:p>
            <w:pPr>
              <w:pStyle w:val="Compact"/>
              <w:jc w:val="left"/>
            </w:pPr>
            <w:r>
              <w:t xml:space="preserve">USD 117 millones en 5 años</w:t>
            </w:r>
          </w:p>
        </w:tc>
      </w:tr>
      <w:tr>
        <w:tc>
          <w:p>
            <w:pPr>
              <w:pStyle w:val="Compact"/>
              <w:jc w:val="left"/>
            </w:pPr>
            <w:r>
              <w:rPr>
                <w:b/>
              </w:rPr>
              <w:t xml:space="preserve">Financiamiento</w:t>
            </w:r>
          </w:p>
        </w:tc>
        <w:tc>
          <w:p>
            <w:pPr>
              <w:pStyle w:val="Compact"/>
              <w:jc w:val="left"/>
            </w:pPr>
            <w:r>
              <w:t xml:space="preserve">Estado 30%, Fundaciones 25%, Multilaterales 20%, Pharma 15%, Privado argentino 10%</w:t>
            </w:r>
          </w:p>
        </w:tc>
      </w:tr>
      <w:tr>
        <w:tc>
          <w:p>
            <w:pPr>
              <w:pStyle w:val="Compact"/>
              <w:jc w:val="left"/>
            </w:pPr>
            <w:r>
              <w:rPr>
                <w:b/>
              </w:rPr>
              <w:t xml:space="preserve">Gobernanza</w:t>
            </w:r>
          </w:p>
        </w:tc>
        <w:tc>
          <w:p>
            <w:pPr>
              <w:pStyle w:val="Compact"/>
              <w:jc w:val="left"/>
            </w:pPr>
            <w:r>
              <w:t xml:space="preserve">Ente autárquico mixto con consejo directivo internacional</w:t>
            </w:r>
          </w:p>
        </w:tc>
      </w:tr>
      <w:tr>
        <w:tc>
          <w:p>
            <w:pPr>
              <w:pStyle w:val="Compact"/>
              <w:jc w:val="left"/>
            </w:pPr>
            <w:r>
              <w:rPr>
                <w:b/>
              </w:rPr>
              <w:t xml:space="preserve">Resultados esperados</w:t>
            </w:r>
          </w:p>
        </w:tc>
        <w:tc>
          <w:p>
            <w:pPr>
              <w:pStyle w:val="Compact"/>
              <w:jc w:val="left"/>
            </w:pPr>
            <w:r>
              <w:t xml:space="preserve">3-5 candidatos preclínicos, 100K muestras biobank, 50+ publicaciones, 15+ repatriaciones, plataforma de screening en 500+ centros</w:t>
            </w:r>
          </w:p>
        </w:tc>
      </w:tr>
      <w:tr>
        <w:tc>
          <w:p>
            <w:pPr>
              <w:pStyle w:val="Compact"/>
              <w:jc w:val="left"/>
            </w:pPr>
            <w:r>
              <w:rPr>
                <w:b/>
              </w:rPr>
              <w:t xml:space="preserve">Costo per capita</w:t>
            </w:r>
          </w:p>
        </w:tc>
        <w:tc>
          <w:p>
            <w:pPr>
              <w:pStyle w:val="Compact"/>
              <w:jc w:val="left"/>
            </w:pPr>
            <w:r>
              <w:t xml:space="preserve">USD 2,5/argentino/año</w:t>
            </w:r>
          </w:p>
        </w:tc>
      </w:tr>
    </w:tbl>
    <w:p>
      <w:r>
        <w:pict>
          <v:rect style="width:0;height:1.5pt" o:hralign="center" o:hrstd="t" o:hr="t"/>
        </w:pict>
      </w:r>
    </w:p>
    <w:p>
      <w:pPr>
        <w:pStyle w:val="FirstParagraph"/>
      </w:pPr>
      <w:r>
        <w:rPr>
          <w:i/>
        </w:rPr>
        <w:t xml:space="preserve">La tradición de Houssay, Leloir y Milstein demostró que Argentina puede hacer ciencia que cambia el mundo. CAITMA es la apuesta a que esa tradición no se apague — sino que se reinvente con las herramientas más poderosas que la humanidad haya tenido.</w:t>
      </w:r>
    </w:p>
    <w:p>
      <w:r>
        <w:pict>
          <v:rect style="width:0;height:1.5pt" o:hralign="center" o:hrstd="t" o:hr="t"/>
        </w:pict>
      </w:r>
    </w:p>
    <w:p>
      <w:pPr>
        <w:pStyle w:val="FirstParagraph"/>
      </w:pPr>
      <w:r>
        <w:rPr>
          <w:i/>
        </w:rPr>
        <w:t xml:space="preserve">Documento creado: 23 de febrero de 2026</w:t>
      </w:r>
      <w:r>
        <w:t xml:space="preserve"> </w:t>
      </w:r>
      <w:r>
        <w:rPr>
          <w:i/>
        </w:rPr>
        <w:t xml:space="preserve">Addendum al Documento 04 — Salud para Todos</w:t>
      </w:r>
      <w:r>
        <w:t xml:space="preserve"> </w:t>
      </w:r>
      <w:r>
        <w:rPr>
          <w:i/>
        </w:rPr>
        <w:t xml:space="preserve">Proyecto Argentina Próspera 2027-2031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2026-02-23T21:22:40Z</dcterms:created>
  <dcterms:modified xsi:type="dcterms:W3CDTF">2026-02-23T21:22:40Z</dcterms:modified>
</cp:coreProperties>
</file>

<file path=docProps/custom.xml><?xml version="1.0" encoding="utf-8"?>
<Properties xmlns="http://schemas.openxmlformats.org/officeDocument/2006/custom-properties" xmlns:vt="http://schemas.openxmlformats.org/officeDocument/2006/docPropsVTypes"/>
</file>