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c82a778a27bb69aab0fed26482d95e8a174fc1"/>
      <w:r>
        <w:t xml:space="preserve">Trabajo, Producción y Economía con Sentido</w:t>
      </w:r>
      <w:bookmarkEnd w:id="20"/>
    </w:p>
    <w:p>
      <w:pPr>
        <w:pStyle w:val="Heading2"/>
      </w:pPr>
      <w:bookmarkStart w:id="21" w:name="Xffc5bccd9c197410b4e11583d77cb4d2d6befab"/>
      <w:r>
        <w:t xml:space="preserve">Argentina Próspera 2027-2031 — Documento Sectorial 06</w:t>
      </w:r>
      <w:bookmarkEnd w:id="21"/>
    </w:p>
    <w:p>
      <w:r>
        <w:pict>
          <v:rect style="width:0;height:1.5pt" o:hralign="center" o:hrstd="t" o:hr="t"/>
        </w:pict>
      </w:r>
    </w:p>
    <w:p>
      <w:pPr>
        <w:pStyle w:val="Heading2"/>
      </w:pPr>
      <w:bookmarkStart w:id="22" w:name="X84cfc2b62f1430b1e0eb20c68bb50bb8ba7d0c5"/>
      <w:r>
        <w:t xml:space="preserve">La Situación Hoy: un país que produce pero no reparte</w:t>
      </w:r>
      <w:bookmarkEnd w:id="22"/>
    </w:p>
    <w:p>
      <w:pPr>
        <w:pStyle w:val="FirstParagraph"/>
      </w:pPr>
      <w:r>
        <w:t xml:space="preserve">Argentina es una potencia alimentaria. Exporta USD 79.700 millones al año, tiene superávit comercial récord de USD 18.900 millones, y sus campos producen alimento para 400 millones de personas. Tiene 115.000 desarrolladores de software, 11 unicornios tecnológicos, un sector energético con Vaca Muerta como joya geológica, y una tradición industrial que en su momento fue la más fuerte de Sudamérica.</w:t>
      </w:r>
    </w:p>
    <w:p>
      <w:pPr>
        <w:pStyle w:val="BodyText"/>
      </w:pPr>
      <w:r>
        <w:t xml:space="preserve">Y sin embargo, el</w:t>
      </w:r>
      <w:r>
        <w:t xml:space="preserve"> </w:t>
      </w:r>
      <w:r>
        <w:rPr>
          <w:b/>
        </w:rPr>
        <w:t xml:space="preserve">31,6% de la población es pobre</w:t>
      </w:r>
      <w:r>
        <w:t xml:space="preserve">. El</w:t>
      </w:r>
      <w:r>
        <w:t xml:space="preserve"> </w:t>
      </w:r>
      <w:r>
        <w:rPr>
          <w:b/>
        </w:rPr>
        <w:t xml:space="preserve">43,3% de los trabajadores son informales</w:t>
      </w:r>
      <w:r>
        <w:t xml:space="preserve"> </w:t>
      </w:r>
      <w:r>
        <w:t xml:space="preserve">— 8 millones de personas sin aportes jubilatorios, sin obra social, sin estabilidad. El salario mínimo de $346.800 cubre apenas el 27% de la canasta básica familiar. Un repartidor de delivery necesita hacer 454 pedidos por mes solo para llegar a la línea de pobreza.</w:t>
      </w:r>
    </w:p>
    <w:p>
      <w:pPr>
        <w:pStyle w:val="BodyText"/>
      </w:pPr>
      <w:r>
        <w:t xml:space="preserve">La estructura productiva tiene tres problemas de raíz. Primero,</w:t>
      </w:r>
      <w:r>
        <w:t xml:space="preserve"> </w:t>
      </w:r>
      <w:r>
        <w:rPr>
          <w:b/>
        </w:rPr>
        <w:t xml:space="preserve">dependencia de commodities</w:t>
      </w:r>
      <w:r>
        <w:t xml:space="preserve">: el 58% de las exportaciones son cadenas agroindustriales; cuando baja el precio de la soja, tiembla todo el país. Segundo,</w:t>
      </w:r>
      <w:r>
        <w:t xml:space="preserve"> </w:t>
      </w:r>
      <w:r>
        <w:rPr>
          <w:b/>
        </w:rPr>
        <w:t xml:space="preserve">destrucción del tejido PyME</w:t>
      </w:r>
      <w:r>
        <w:t xml:space="preserve">: en 2024 cerraron 66.000 empresas y abrieron solo 53.000 — contracción neta. Las PyMEs generan el 50% del empleo formal pero reciben poco apoyo real. Tercero,</w:t>
      </w:r>
      <w:r>
        <w:t xml:space="preserve"> </w:t>
      </w:r>
      <w:r>
        <w:rPr>
          <w:b/>
        </w:rPr>
        <w:t xml:space="preserve">informalidad estructural</w:t>
      </w:r>
      <w:r>
        <w:t xml:space="preserve">: 8 millones de trabajadores invisibles al Estado, que no acceden a derechos ni contribuyen al sistema.</w:t>
      </w:r>
    </w:p>
    <w:p>
      <w:pPr>
        <w:pStyle w:val="Heading3"/>
      </w:pPr>
      <w:bookmarkStart w:id="23" w:name="los-números-que-duelen"/>
      <w:r>
        <w:t xml:space="preserve">Los números que duelen</w:t>
      </w:r>
      <w:bookmarkEnd w:id="23"/>
    </w:p>
    <w:p>
      <w:pPr>
        <w:numPr>
          <w:ilvl w:val="0"/>
          <w:numId w:val="1001"/>
        </w:numPr>
        <w:pStyle w:val="Compact"/>
      </w:pPr>
      <w:r>
        <w:rPr>
          <w:b/>
        </w:rPr>
        <w:t xml:space="preserve">Pobreza H1 2025:</w:t>
      </w:r>
      <w:r>
        <w:t xml:space="preserve"> </w:t>
      </w:r>
      <w:r>
        <w:t xml:space="preserve">31,6% (era 52,9% en H1 2024 — mejoró pero sigue siendo devastadora)</w:t>
      </w:r>
    </w:p>
    <w:p>
      <w:pPr>
        <w:numPr>
          <w:ilvl w:val="0"/>
          <w:numId w:val="1001"/>
        </w:numPr>
        <w:pStyle w:val="Compact"/>
      </w:pPr>
      <w:r>
        <w:rPr>
          <w:b/>
        </w:rPr>
        <w:t xml:space="preserve">Indigencia:</w:t>
      </w:r>
      <w:r>
        <w:t xml:space="preserve"> </w:t>
      </w:r>
      <w:r>
        <w:t xml:space="preserve">6,9% — casi 3,2 millones de personas que no comen lo suficiente</w:t>
      </w:r>
    </w:p>
    <w:p>
      <w:pPr>
        <w:numPr>
          <w:ilvl w:val="0"/>
          <w:numId w:val="1001"/>
        </w:numPr>
        <w:pStyle w:val="Compact"/>
      </w:pPr>
      <w:r>
        <w:rPr>
          <w:b/>
        </w:rPr>
        <w:t xml:space="preserve">Informalidad:</w:t>
      </w:r>
      <w:r>
        <w:t xml:space="preserve"> </w:t>
      </w:r>
      <w:r>
        <w:t xml:space="preserve">43,3% — la mayoría de los nuevos empleos creados en 2025 fueron informales</w:t>
      </w:r>
    </w:p>
    <w:p>
      <w:pPr>
        <w:numPr>
          <w:ilvl w:val="0"/>
          <w:numId w:val="1001"/>
        </w:numPr>
        <w:pStyle w:val="Compact"/>
      </w:pPr>
      <w:r>
        <w:rPr>
          <w:b/>
        </w:rPr>
        <w:t xml:space="preserve">Desempleo joven:</w:t>
      </w:r>
      <w:r>
        <w:t xml:space="preserve"> </w:t>
      </w:r>
      <w:r>
        <w:t xml:space="preserve">mujeres jóvenes 13,8%, varones jóvenes 12,5% — duplica la media general</w:t>
      </w:r>
    </w:p>
    <w:p>
      <w:pPr>
        <w:numPr>
          <w:ilvl w:val="0"/>
          <w:numId w:val="1001"/>
        </w:numPr>
        <w:pStyle w:val="Compact"/>
      </w:pPr>
      <w:r>
        <w:rPr>
          <w:b/>
        </w:rPr>
        <w:t xml:space="preserve">PyMEs:</w:t>
      </w:r>
      <w:r>
        <w:t xml:space="preserve"> </w:t>
      </w:r>
      <w:r>
        <w:t xml:space="preserve">515.599 registradas, pero solo 16% planea aumentar empleo</w:t>
      </w:r>
    </w:p>
    <w:p>
      <w:pPr>
        <w:numPr>
          <w:ilvl w:val="0"/>
          <w:numId w:val="1001"/>
        </w:numPr>
        <w:pStyle w:val="Compact"/>
      </w:pPr>
      <w:r>
        <w:rPr>
          <w:b/>
        </w:rPr>
        <w:t xml:space="preserve">Cooperativas:</w:t>
      </w:r>
      <w:r>
        <w:t xml:space="preserve"> </w:t>
      </w:r>
      <w:r>
        <w:t xml:space="preserve">19.076 con 316.927 trabajadores — un sector resiliente pero pequeño</w:t>
      </w:r>
    </w:p>
    <w:p>
      <w:pPr>
        <w:numPr>
          <w:ilvl w:val="0"/>
          <w:numId w:val="1001"/>
        </w:numPr>
        <w:pStyle w:val="Compact"/>
      </w:pPr>
      <w:r>
        <w:rPr>
          <w:b/>
        </w:rPr>
        <w:t xml:space="preserve">Brecha salarial:</w:t>
      </w:r>
      <w:r>
        <w:t xml:space="preserve"> </w:t>
      </w:r>
      <w:r>
        <w:t xml:space="preserve">el decil más alto gana 13 veces más que el más bajo</w:t>
      </w:r>
    </w:p>
    <w:p>
      <w:pPr>
        <w:numPr>
          <w:ilvl w:val="0"/>
          <w:numId w:val="1001"/>
        </w:numPr>
        <w:pStyle w:val="Compact"/>
      </w:pPr>
      <w:r>
        <w:rPr>
          <w:b/>
        </w:rPr>
        <w:t xml:space="preserve">Economía de plataformas:</w:t>
      </w:r>
      <w:r>
        <w:t xml:space="preserve"> </w:t>
      </w:r>
      <w:r>
        <w:t xml:space="preserve">160.000 repartidores de delivery, sin protección social real</w:t>
      </w:r>
    </w:p>
    <w:p>
      <w:pPr>
        <w:numPr>
          <w:ilvl w:val="0"/>
          <w:numId w:val="1001"/>
        </w:numPr>
        <w:pStyle w:val="Compact"/>
      </w:pPr>
      <w:r>
        <w:rPr>
          <w:b/>
        </w:rPr>
        <w:t xml:space="preserve">Cartoneros/recicladores:</w:t>
      </w:r>
      <w:r>
        <w:t xml:space="preserve"> </w:t>
      </w:r>
      <w:r>
        <w:t xml:space="preserve">perdieron 44% de sus trabajadores y ganan 50% menos que antes</w:t>
      </w:r>
    </w:p>
    <w:p>
      <w:pPr>
        <w:numPr>
          <w:ilvl w:val="0"/>
          <w:numId w:val="1001"/>
        </w:numPr>
        <w:pStyle w:val="Compact"/>
      </w:pPr>
      <w:r>
        <w:rPr>
          <w:b/>
        </w:rPr>
        <w:t xml:space="preserve">IA y empleo:</w:t>
      </w:r>
      <w:r>
        <w:t xml:space="preserve"> </w:t>
      </w:r>
      <w:r>
        <w:t xml:space="preserve">54% de los puestos de trabajo argentinos están en riesgo de automatización</w:t>
      </w:r>
    </w:p>
    <w:p>
      <w:r>
        <w:pict>
          <v:rect style="width:0;height:1.5pt" o:hralign="center" o:hrstd="t" o:hr="t"/>
        </w:pict>
      </w:r>
    </w:p>
    <w:p>
      <w:pPr>
        <w:pStyle w:val="Heading2"/>
      </w:pPr>
      <w:bookmarkStart w:id="24" w:name="X059ade18dc6f1634ebb63cf638b21872c015f35"/>
      <w:r>
        <w:t xml:space="preserve">Cinco Políticas para Transformar el Trabajo en Argentina</w:t>
      </w:r>
      <w:bookmarkEnd w:id="24"/>
    </w:p>
    <w:p>
      <w:r>
        <w:pict>
          <v:rect style="width:0;height:1.5pt" o:hralign="center" o:hrstd="t" o:hr="t"/>
        </w:pict>
      </w:r>
    </w:p>
    <w:p>
      <w:pPr>
        <w:pStyle w:val="Heading2"/>
      </w:pPr>
      <w:bookmarkStart w:id="25" w:name="X5d47ff0d3617059e03d9dfd97b90c1e066e9047"/>
      <w:r>
        <w:t xml:space="preserve">Política 1: Garantía de Empleo Comunitario —</w:t>
      </w:r>
      <w:r>
        <w:t xml:space="preserve"> </w:t>
      </w:r>
      <w:r>
        <w:t xml:space="preserve">“</w:t>
      </w:r>
      <w:r>
        <w:t xml:space="preserve">Nadie sin trabajo digno</w:t>
      </w:r>
      <w:r>
        <w:t xml:space="preserve">”</w:t>
      </w:r>
      <w:bookmarkEnd w:id="25"/>
    </w:p>
    <w:p>
      <w:pPr>
        <w:pStyle w:val="FirstParagraph"/>
      </w:pPr>
      <w:r>
        <w:rPr>
          <w:i/>
        </w:rPr>
        <w:t xml:space="preserve">Inspirada en la propuesta de Garantía de Empleo (Pavlina Tcherneva), el piloto de Marienthal (Austria), los programas de empleo de la India (NREGA), y la experiencia argentina del Plan Jefes (2002)</w:t>
      </w:r>
    </w:p>
    <w:p>
      <w:pPr>
        <w:pStyle w:val="Heading3"/>
      </w:pPr>
      <w:bookmarkStart w:id="26" w:name="qué-es"/>
      <w:r>
        <w:t xml:space="preserve">Qué es</w:t>
      </w:r>
      <w:bookmarkEnd w:id="26"/>
    </w:p>
    <w:p>
      <w:pPr>
        <w:pStyle w:val="FirstParagraph"/>
      </w:pPr>
      <w:r>
        <w:t xml:space="preserve">Un programa nacional que garantiza un empleo a toda persona que quiera trabajar y no lo consiga en el mercado privado. No es un plan social — es un trabajo real, con salario digno, obra social, y aportes jubilatorios. La diferencia fundamental con los planes existentes es que no hay contraprestación ficticia: hay trabajo genuino identificado por las propias comunidades.</w:t>
      </w:r>
    </w:p>
    <w:p>
      <w:pPr>
        <w:pStyle w:val="BodyText"/>
      </w:pPr>
      <w:r>
        <w:t xml:space="preserve">Cada municipio y comuna arma un</w:t>
      </w:r>
      <w:r>
        <w:t xml:space="preserve"> </w:t>
      </w:r>
      <w:r>
        <w:rPr>
          <w:b/>
        </w:rPr>
        <w:t xml:space="preserve">Consejo Local de Empleo</w:t>
      </w:r>
      <w:r>
        <w:t xml:space="preserve"> </w:t>
      </w:r>
      <w:r>
        <w:t xml:space="preserve">(con participación de vecinos, organizaciones comunitarias, cooperativas, universidades) que identifica las necesidades no cubiertas del territorio: arreglar veredas, cuidar plazas, acompañar ancianos, limpiar arroyos, plantar árboles, mantener escuelas, construir huertas comunitarias, alfabetizar, acompañar personas con discapacidad.</w:t>
      </w:r>
    </w:p>
    <w:p>
      <w:pPr>
        <w:pStyle w:val="BodyText"/>
      </w:pPr>
      <w:r>
        <w:rPr>
          <w:b/>
        </w:rPr>
        <w:t xml:space="preserve">El programa no compite con el sector privado</w:t>
      </w:r>
      <w:r>
        <w:t xml:space="preserve"> </w:t>
      </w:r>
      <w:r>
        <w:t xml:space="preserve">— cubre necesidades que el mercado no atiende porque no son rentables. Cuando la economía crece, los trabajadores migran al empleo privado; cuando cae, el programa absorbe. Es un estabilizador automático.</w:t>
      </w:r>
    </w:p>
    <w:p>
      <w:pPr>
        <w:pStyle w:val="Heading3"/>
      </w:pPr>
      <w:bookmarkStart w:id="27" w:name="por-qué-esta-política"/>
      <w:r>
        <w:t xml:space="preserve">Por qué esta política</w:t>
      </w:r>
      <w:bookmarkEnd w:id="27"/>
    </w:p>
    <w:p>
      <w:pPr>
        <w:pStyle w:val="FirstParagraph"/>
      </w:pPr>
      <w:r>
        <w:t xml:space="preserve">La idea de Garantía de Empleo tiene una base teórica sólida y experiencias concretas. La India emplea a</w:t>
      </w:r>
      <w:r>
        <w:t xml:space="preserve"> </w:t>
      </w:r>
      <w:r>
        <w:rPr>
          <w:b/>
        </w:rPr>
        <w:t xml:space="preserve">250 millones de personas</w:t>
      </w:r>
      <w:r>
        <w:t xml:space="preserve"> </w:t>
      </w:r>
      <w:r>
        <w:t xml:space="preserve">a través del NREGA (Mahatma Gandhi National Rural Employment Guarantee Act), el programa de empleo más grande de la historia humana. Garantiza 100 días de empleo rural al año con salario mínimo. Resultado: redujo la pobreza rural en un 32%.</w:t>
      </w:r>
    </w:p>
    <w:p>
      <w:pPr>
        <w:pStyle w:val="BodyText"/>
      </w:pPr>
      <w:r>
        <w:t xml:space="preserve">El piloto de</w:t>
      </w:r>
      <w:r>
        <w:t xml:space="preserve"> </w:t>
      </w:r>
      <w:r>
        <w:rPr>
          <w:b/>
        </w:rPr>
        <w:t xml:space="preserve">Marienthal, Austria</w:t>
      </w:r>
      <w:r>
        <w:t xml:space="preserve"> </w:t>
      </w:r>
      <w:r>
        <w:t xml:space="preserve">(2020-2024) ofreció empleo garantizado a desempleados de larga duración en una pequeña ciudad. Resultados: el desempleo cayó a cero en la zona, la salud mental mejoró significativamente, y los participantes realizaron trabajos comunitarios que antes nadie hacía.</w:t>
      </w:r>
    </w:p>
    <w:p>
      <w:pPr>
        <w:pStyle w:val="BodyText"/>
      </w:pPr>
      <w:r>
        <w:t xml:space="preserve">Argentina ya tuvo su propia experiencia: el</w:t>
      </w:r>
      <w:r>
        <w:t xml:space="preserve"> </w:t>
      </w:r>
      <w:r>
        <w:rPr>
          <w:b/>
        </w:rPr>
        <w:t xml:space="preserve">Plan Jefes y Jefas de Hogar</w:t>
      </w:r>
      <w:r>
        <w:t xml:space="preserve"> </w:t>
      </w:r>
      <w:r>
        <w:t xml:space="preserve">(2002) llegó a 2 millones de personas en plena crisis. Fue improvisado y tuvo problemas, pero demostró que el Estado puede absorber empleo masivamente en emergencias. La diferencia es diseñar algo estructural, no de emergencia.</w:t>
      </w:r>
    </w:p>
    <w:p>
      <w:pPr>
        <w:pStyle w:val="Heading3"/>
      </w:pPr>
      <w:bookmarkStart w:id="28" w:name="diseño-para-argentina"/>
      <w:r>
        <w:t xml:space="preserve">Diseño para Argentina</w:t>
      </w:r>
      <w:bookmarkEnd w:id="28"/>
    </w:p>
    <w:p>
      <w:pPr>
        <w:pStyle w:val="FirstParagraph"/>
      </w:pPr>
      <w:r>
        <w:rPr>
          <w:b/>
        </w:rPr>
        <w:t xml:space="preserve">Escala:</w:t>
      </w:r>
      <w:r>
        <w:t xml:space="preserve"> </w:t>
      </w:r>
      <w:r>
        <w:t xml:space="preserve">500.000 puestos de trabajo en 5 años (100.000 nuevos por año)</w:t>
      </w:r>
    </w:p>
    <w:p>
      <w:pPr>
        <w:pStyle w:val="BodyText"/>
      </w:pPr>
      <w:r>
        <w:rPr>
          <w:b/>
        </w:rPr>
        <w:t xml:space="preserve">Salario:</w:t>
      </w:r>
      <w:r>
        <w:t xml:space="preserve"> </w:t>
      </w:r>
      <w:r>
        <w:t xml:space="preserve">Equivalente a 1,2 canastas básicas alimentarias (hoy ~$687.000/mes). Superior al salario mínimo actual, inferior al promedio formal — incentiva migrar al privado cuando hay oportunidades, sin crear una trampa.</w:t>
      </w:r>
    </w:p>
    <w:p>
      <w:pPr>
        <w:pStyle w:val="BodyText"/>
      </w:pPr>
      <w:r>
        <w:rPr>
          <w:b/>
        </w:rPr>
        <w:t xml:space="preserve">Jornada:</w:t>
      </w:r>
      <w:r>
        <w:t xml:space="preserve"> </w:t>
      </w:r>
      <w:r>
        <w:t xml:space="preserve">6 horas/día, 5 días/semana. Las 2 horas restantes se pueden usar para formación o búsqueda de empleo privado.</w:t>
      </w:r>
    </w:p>
    <w:p>
      <w:pPr>
        <w:pStyle w:val="BodyText"/>
      </w:pPr>
      <w:r>
        <w:rPr>
          <w:b/>
        </w:rPr>
        <w:t xml:space="preserve">Tipos de trabajo (definidos localmente):</w:t>
      </w:r>
      <w:r>
        <w:t xml:space="preserve"> </w:t>
      </w:r>
      <w:r>
        <w:t xml:space="preserve">- Cuidado comunitario: acompañamiento de adultos mayores, apoyo escolar, mediación vecinal</w:t>
      </w:r>
      <w:r>
        <w:t xml:space="preserve"> </w:t>
      </w:r>
      <w:r>
        <w:t xml:space="preserve">- Ambiente: forestación urbana, limpieza de cuencas, huertas comunitarias, compostaje</w:t>
      </w:r>
      <w:r>
        <w:t xml:space="preserve"> </w:t>
      </w:r>
      <w:r>
        <w:t xml:space="preserve">- Infraestructura social: mantenimiento de escuelas, centros de salud, plazas, veredas</w:t>
      </w:r>
      <w:r>
        <w:t xml:space="preserve"> </w:t>
      </w:r>
      <w:r>
        <w:t xml:space="preserve">- Cultura y deporte: talleres barriales, bibliotecas populares, polideportivos</w:t>
      </w:r>
      <w:r>
        <w:t xml:space="preserve"> </w:t>
      </w:r>
      <w:r>
        <w:t xml:space="preserve">- Economía circular: centros de reciclaje, reparación, reutilización</w:t>
      </w:r>
    </w:p>
    <w:p>
      <w:pPr>
        <w:pStyle w:val="BodyText"/>
      </w:pPr>
      <w:r>
        <w:rPr>
          <w:b/>
        </w:rPr>
        <w:t xml:space="preserve">Prioridad absoluta:</w:t>
      </w:r>
      <w:r>
        <w:t xml:space="preserve"> </w:t>
      </w:r>
      <w:r>
        <w:t xml:space="preserve">personas de barrios populares, mujeres jefas de hogar, jóvenes sin empleo ni estudio (NiNi), personas con discapacidad, personas trans, pueblos originarios.</w:t>
      </w:r>
    </w:p>
    <w:p>
      <w:pPr>
        <w:pStyle w:val="Heading3"/>
      </w:pPr>
      <w:bookmarkStart w:id="29" w:name="costeo"/>
      <w:r>
        <w:t xml:space="preserve">Costeo</w:t>
      </w:r>
      <w:bookmarkEnd w:id="29"/>
    </w:p>
    <w:tbl>
      <w:tblPr>
        <w:tblStyle w:val="Table"/>
        <w:tblW w:type="pct" w:w="5000.0"/>
        <w:tblLook w:firstRow="1"/>
      </w:tblPr>
      <w:tblGrid>
        <w:gridCol w:w="1523"/>
        <w:gridCol w:w="2284"/>
        <w:gridCol w:w="4112"/>
      </w:tblGrid>
      <w:tr>
        <w:trPr>
          <w:cnfStyle w:firstRow="1"/>
        </w:trPr>
        <w:tc>
          <w:tcPr>
            <w:tcBorders>
              <w:bottom w:val="single"/>
            </w:tcBorders>
            <w:vAlign w:val="bottom"/>
          </w:tcPr>
          <w:p>
            <w:pPr>
              <w:pStyle w:val="Compact"/>
              <w:jc w:val="left"/>
            </w:pPr>
            <w:r>
              <w:t xml:space="preserve">Concepto</w:t>
            </w:r>
          </w:p>
        </w:tc>
        <w:tc>
          <w:tcPr>
            <w:tcBorders>
              <w:bottom w:val="single"/>
            </w:tcBorders>
            <w:vAlign w:val="bottom"/>
          </w:tcPr>
          <w:p>
            <w:pPr>
              <w:pStyle w:val="Compact"/>
              <w:jc w:val="left"/>
            </w:pPr>
            <w:r>
              <w:t xml:space="preserve">Costo unitario</w:t>
            </w:r>
          </w:p>
        </w:tc>
        <w:tc>
          <w:tcPr>
            <w:tcBorders>
              <w:bottom w:val="single"/>
            </w:tcBorders>
            <w:vAlign w:val="bottom"/>
          </w:tcPr>
          <w:p>
            <w:pPr>
              <w:pStyle w:val="Compact"/>
              <w:jc w:val="left"/>
            </w:pPr>
            <w:r>
              <w:t xml:space="preserve">Total (5 años, escalonado)</w:t>
            </w:r>
          </w:p>
        </w:tc>
      </w:tr>
      <w:tr>
        <w:tc>
          <w:p>
            <w:pPr>
              <w:pStyle w:val="Compact"/>
              <w:jc w:val="left"/>
            </w:pPr>
            <w:r>
              <w:t xml:space="preserve">Salarios + cargas sociales (500K puestos promedio)</w:t>
            </w:r>
          </w:p>
        </w:tc>
        <w:tc>
          <w:p>
            <w:pPr>
              <w:pStyle w:val="Compact"/>
              <w:jc w:val="left"/>
            </w:pPr>
            <w:r>
              <w:t xml:space="preserve">USD 4.200/persona/año</w:t>
            </w:r>
          </w:p>
        </w:tc>
        <w:tc>
          <w:p>
            <w:pPr>
              <w:pStyle w:val="Compact"/>
              <w:jc w:val="left"/>
            </w:pPr>
            <w:r>
              <w:t xml:space="preserve">USD 10.500M</w:t>
            </w:r>
          </w:p>
        </w:tc>
      </w:tr>
      <w:tr>
        <w:tc>
          <w:p>
            <w:pPr>
              <w:pStyle w:val="Compact"/>
              <w:jc w:val="left"/>
            </w:pPr>
            <w:r>
              <w:t xml:space="preserve">Materiales e insumos para proyectos</w:t>
            </w:r>
          </w:p>
        </w:tc>
        <w:tc>
          <w:p>
            <w:pPr>
              <w:pStyle w:val="Compact"/>
              <w:jc w:val="left"/>
            </w:pPr>
            <w:r>
              <w:t xml:space="preserve">USD 800/persona/año</w:t>
            </w:r>
          </w:p>
        </w:tc>
        <w:tc>
          <w:p>
            <w:pPr>
              <w:pStyle w:val="Compact"/>
              <w:jc w:val="left"/>
            </w:pPr>
            <w:r>
              <w:t xml:space="preserve">USD 2.000M</w:t>
            </w:r>
          </w:p>
        </w:tc>
      </w:tr>
      <w:tr>
        <w:tc>
          <w:p>
            <w:pPr>
              <w:pStyle w:val="Compact"/>
              <w:jc w:val="left"/>
            </w:pPr>
            <w:r>
              <w:t xml:space="preserve">Formación y capacitación</w:t>
            </w:r>
          </w:p>
        </w:tc>
        <w:tc>
          <w:p>
            <w:pPr>
              <w:pStyle w:val="Compact"/>
              <w:jc w:val="left"/>
            </w:pPr>
            <w:r>
              <w:t xml:space="preserve">USD 400/persona/año</w:t>
            </w:r>
          </w:p>
        </w:tc>
        <w:tc>
          <w:p>
            <w:pPr>
              <w:pStyle w:val="Compact"/>
              <w:jc w:val="left"/>
            </w:pPr>
            <w:r>
              <w:t xml:space="preserve">USD 1.000M</w:t>
            </w:r>
          </w:p>
        </w:tc>
      </w:tr>
      <w:tr>
        <w:tc>
          <w:p>
            <w:pPr>
              <w:pStyle w:val="Compact"/>
              <w:jc w:val="left"/>
            </w:pPr>
            <w:r>
              <w:t xml:space="preserve">Coordinación (Consejos Locales + supervisión)</w:t>
            </w:r>
          </w:p>
        </w:tc>
        <w:tc>
          <w:p>
            <w:pPr>
              <w:pStyle w:val="Compact"/>
              <w:jc w:val="left"/>
            </w:pPr>
            <w:r>
              <w:t xml:space="preserve">—</w:t>
            </w:r>
          </w:p>
        </w:tc>
        <w:tc>
          <w:p>
            <w:pPr>
              <w:pStyle w:val="Compact"/>
              <w:jc w:val="left"/>
            </w:pPr>
            <w:r>
              <w:t xml:space="preserve">USD 500M</w:t>
            </w:r>
          </w:p>
        </w:tc>
      </w:tr>
      <w:tr>
        <w:tc>
          <w:p>
            <w:pPr>
              <w:pStyle w:val="Compact"/>
              <w:jc w:val="left"/>
            </w:pPr>
            <w:r>
              <w:rPr>
                <w:b/>
              </w:rPr>
              <w:t xml:space="preserve">Total</w:t>
            </w:r>
          </w:p>
        </w:tc>
        <w:tc>
          <w:p/>
        </w:tc>
        <w:tc>
          <w:p>
            <w:pPr>
              <w:pStyle w:val="Compact"/>
              <w:jc w:val="left"/>
            </w:pPr>
            <w:r>
              <w:rPr>
                <w:b/>
              </w:rPr>
              <w:t xml:space="preserve">USD 14.000M</w:t>
            </w:r>
          </w:p>
        </w:tc>
      </w:tr>
    </w:tbl>
    <w:p>
      <w:pPr>
        <w:pStyle w:val="Heading3"/>
      </w:pPr>
      <w:bookmarkStart w:id="30" w:name="financiamiento"/>
      <w:r>
        <w:t xml:space="preserve">Financiamiento</w:t>
      </w:r>
      <w:bookmarkEnd w:id="30"/>
    </w:p>
    <w:tbl>
      <w:tblPr>
        <w:tblStyle w:val="Table"/>
        <w:tblW w:type="pct" w:w="5000.0"/>
        <w:tblLook w:firstRow="1"/>
      </w:tblPr>
      <w:tblGrid>
        <w:gridCol w:w="2184"/>
        <w:gridCol w:w="819"/>
        <w:gridCol w:w="1911"/>
        <w:gridCol w:w="3004"/>
      </w:tblGrid>
      <w:tr>
        <w:trPr>
          <w:cnfStyle w:firstRow="1"/>
        </w:trPr>
        <w:tc>
          <w:tcPr>
            <w:tcBorders>
              <w:bottom w:val="single"/>
            </w:tcBorders>
            <w:vAlign w:val="bottom"/>
          </w:tcPr>
          <w:p>
            <w:pPr>
              <w:pStyle w:val="Compact"/>
              <w:jc w:val="left"/>
            </w:pPr>
            <w:r>
              <w:t xml:space="preserve">Fuente</w:t>
            </w:r>
          </w:p>
        </w:tc>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Monto</w:t>
            </w:r>
          </w:p>
        </w:tc>
        <w:tc>
          <w:tcPr>
            <w:tcBorders>
              <w:bottom w:val="single"/>
            </w:tcBorders>
            <w:vAlign w:val="bottom"/>
          </w:tcPr>
          <w:p>
            <w:pPr>
              <w:pStyle w:val="Compact"/>
              <w:jc w:val="left"/>
            </w:pPr>
            <w:r>
              <w:t xml:space="preserve">Mecanismo</w:t>
            </w:r>
          </w:p>
        </w:tc>
      </w:tr>
      <w:tr>
        <w:tc>
          <w:p>
            <w:pPr>
              <w:pStyle w:val="Compact"/>
              <w:jc w:val="left"/>
            </w:pPr>
            <w:r>
              <w:t xml:space="preserve">Presupuesto nacional (reemplazo de planes sociales)</w:t>
            </w:r>
          </w:p>
        </w:tc>
        <w:tc>
          <w:p>
            <w:pPr>
              <w:pStyle w:val="Compact"/>
              <w:jc w:val="left"/>
            </w:pPr>
            <w:r>
              <w:t xml:space="preserve">50%</w:t>
            </w:r>
          </w:p>
        </w:tc>
        <w:tc>
          <w:p>
            <w:pPr>
              <w:pStyle w:val="Compact"/>
              <w:jc w:val="left"/>
            </w:pPr>
            <w:r>
              <w:t xml:space="preserve">USD 7.000M</w:t>
            </w:r>
          </w:p>
        </w:tc>
        <w:tc>
          <w:p>
            <w:pPr>
              <w:pStyle w:val="Compact"/>
              <w:jc w:val="left"/>
            </w:pPr>
            <w:r>
              <w:t xml:space="preserve">Reconversión del gasto en Potenciar Trabajo y planes similares (hoy ~USD 2.884M/año)</w:t>
            </w:r>
          </w:p>
        </w:tc>
      </w:tr>
      <w:tr>
        <w:tc>
          <w:p>
            <w:pPr>
              <w:pStyle w:val="Compact"/>
              <w:jc w:val="left"/>
            </w:pPr>
            <w:r>
              <w:t xml:space="preserve">Impuesto a grandes fortunas (Política 10)</w:t>
            </w:r>
          </w:p>
        </w:tc>
        <w:tc>
          <w:p>
            <w:pPr>
              <w:pStyle w:val="Compact"/>
              <w:jc w:val="left"/>
            </w:pPr>
            <w:r>
              <w:t xml:space="preserve">20%</w:t>
            </w:r>
          </w:p>
        </w:tc>
        <w:tc>
          <w:p>
            <w:pPr>
              <w:pStyle w:val="Compact"/>
              <w:jc w:val="left"/>
            </w:pPr>
            <w:r>
              <w:t xml:space="preserve">USD 2.800M</w:t>
            </w:r>
          </w:p>
        </w:tc>
        <w:tc>
          <w:p>
            <w:pPr>
              <w:pStyle w:val="Compact"/>
              <w:jc w:val="left"/>
            </w:pPr>
            <w:r>
              <w:t xml:space="preserve">Recaudación del impuesto permanente a patrimonios &gt;USD 5M</w:t>
            </w:r>
          </w:p>
        </w:tc>
      </w:tr>
      <w:tr>
        <w:tc>
          <w:p>
            <w:pPr>
              <w:pStyle w:val="Compact"/>
              <w:jc w:val="left"/>
            </w:pPr>
            <w:r>
              <w:t xml:space="preserve">Organismos multilaterales (BID, Banco Mundial)</w:t>
            </w:r>
          </w:p>
        </w:tc>
        <w:tc>
          <w:p>
            <w:pPr>
              <w:pStyle w:val="Compact"/>
              <w:jc w:val="left"/>
            </w:pPr>
            <w:r>
              <w:t xml:space="preserve">20%</w:t>
            </w:r>
          </w:p>
        </w:tc>
        <w:tc>
          <w:p>
            <w:pPr>
              <w:pStyle w:val="Compact"/>
              <w:jc w:val="left"/>
            </w:pPr>
            <w:r>
              <w:t xml:space="preserve">USD 2.800M</w:t>
            </w:r>
          </w:p>
        </w:tc>
        <w:tc>
          <w:p>
            <w:pPr>
              <w:pStyle w:val="Compact"/>
              <w:jc w:val="left"/>
            </w:pPr>
            <w:r>
              <w:t xml:space="preserve">Préstamos blandos para programas de empleo y reducción de pobreza</w:t>
            </w:r>
          </w:p>
        </w:tc>
      </w:tr>
      <w:tr>
        <w:tc>
          <w:p>
            <w:pPr>
              <w:pStyle w:val="Compact"/>
              <w:jc w:val="left"/>
            </w:pPr>
            <w:r>
              <w:t xml:space="preserve">Ahorro en transferencias monetarias</w:t>
            </w:r>
          </w:p>
        </w:tc>
        <w:tc>
          <w:p>
            <w:pPr>
              <w:pStyle w:val="Compact"/>
              <w:jc w:val="left"/>
            </w:pPr>
            <w:r>
              <w:t xml:space="preserve">10%</w:t>
            </w:r>
          </w:p>
        </w:tc>
        <w:tc>
          <w:p>
            <w:pPr>
              <w:pStyle w:val="Compact"/>
              <w:jc w:val="left"/>
            </w:pPr>
            <w:r>
              <w:t xml:space="preserve">USD 1.400M</w:t>
            </w:r>
          </w:p>
        </w:tc>
        <w:tc>
          <w:p>
            <w:pPr>
              <w:pStyle w:val="Compact"/>
              <w:jc w:val="left"/>
            </w:pPr>
            <w:r>
              <w:t xml:space="preserve">A medida que el empleo real reduce la demanda de AUH y otros</w:t>
            </w:r>
          </w:p>
        </w:tc>
      </w:tr>
    </w:tbl>
    <w:p>
      <w:pPr>
        <w:pStyle w:val="Heading3"/>
      </w:pPr>
      <w:bookmarkStart w:id="31" w:name="diálogo-con-el-marco-teórico"/>
      <w:r>
        <w:t xml:space="preserve">Diálogo con el marco teórico</w:t>
      </w:r>
      <w:bookmarkEnd w:id="31"/>
    </w:p>
    <w:p>
      <w:pPr>
        <w:pStyle w:val="FirstParagraph"/>
      </w:pPr>
      <w:r>
        <w:t xml:space="preserve">Desde la economía de la dona, la Garantía de Empleo es el mecanismo más directo para asegurar que nadie caiga por debajo del piso social del empleo digno, sin presionar el techo ecológico (los trabajos son comunitarios, no extractivos). Desde la perspectiva del Estado emprendedor, el Estado no subsidia — crea directamente el empleo que el mercado no genera. Desde la desigualdad estructural, el programa ataca la raíz: da ingresos, derechos laborales y dignidad a los 8 millones de informales y los millones en pobreza. Desde los bienes comunes, los trabajos producen bienes públicos (plazas limpias, ancianos acompañados, bosques plantados) que benefician a toda la comunidad.</w:t>
      </w:r>
    </w:p>
    <w:p>
      <w:r>
        <w:pict>
          <v:rect style="width:0;height:1.5pt" o:hralign="center" o:hrstd="t" o:hr="t"/>
        </w:pict>
      </w:r>
    </w:p>
    <w:p>
      <w:pPr>
        <w:pStyle w:val="Heading2"/>
      </w:pPr>
      <w:bookmarkStart w:id="32" w:name="X7ce5b2d34ebb9f639a1e986e2d8c44bdce71595"/>
      <w:r>
        <w:t xml:space="preserve">Política 2: Cooperativas de Plataforma —</w:t>
      </w:r>
      <w:r>
        <w:t xml:space="preserve"> </w:t>
      </w:r>
      <w:r>
        <w:t xml:space="preserve">“</w:t>
      </w:r>
      <w:r>
        <w:t xml:space="preserve">La tecnología al servicio de los trabajadores</w:t>
      </w:r>
      <w:r>
        <w:t xml:space="preserve">”</w:t>
      </w:r>
      <w:bookmarkEnd w:id="32"/>
    </w:p>
    <w:p>
      <w:pPr>
        <w:pStyle w:val="FirstParagraph"/>
      </w:pPr>
      <w:r>
        <w:rPr>
          <w:i/>
        </w:rPr>
        <w:t xml:space="preserve">Inspirada en CoopCycle (Europa), Up&amp;Go (Nueva York), Fairbnb (Italia), Mondragon (País Vasco), y la tradición cooperativa argentina</w:t>
      </w:r>
    </w:p>
    <w:p>
      <w:pPr>
        <w:pStyle w:val="Heading3"/>
      </w:pPr>
      <w:bookmarkStart w:id="33" w:name="qué-es-1"/>
      <w:r>
        <w:t xml:space="preserve">Qué es</w:t>
      </w:r>
      <w:bookmarkEnd w:id="33"/>
    </w:p>
    <w:p>
      <w:pPr>
        <w:pStyle w:val="FirstParagraph"/>
      </w:pPr>
      <w:r>
        <w:t xml:space="preserve">Un programa que crea y fortalece</w:t>
      </w:r>
      <w:r>
        <w:t xml:space="preserve"> </w:t>
      </w:r>
      <w:r>
        <w:rPr>
          <w:b/>
        </w:rPr>
        <w:t xml:space="preserve">cooperativas digitales</w:t>
      </w:r>
      <w:r>
        <w:t xml:space="preserve"> </w:t>
      </w:r>
      <w:r>
        <w:t xml:space="preserve">en los sectores donde las plataformas extractivas (Rappi, Uber, PedidosYa) están precarizando el trabajo. En lugar de que un algoritmo de Silicon Valley se quede con el 30% de cada pedido, los trabajadores son dueños de la plataforma.</w:t>
      </w:r>
    </w:p>
    <w:p>
      <w:pPr>
        <w:pStyle w:val="BodyText"/>
      </w:pPr>
      <w:r>
        <w:t xml:space="preserve">El Estado financia el desarrollo tecnológico de plataformas cooperativas (apps, sistemas de pago, logística), brinda asistencia técnica, y establece ventajas regulatorias para cooperativas sobre corporaciones de plataforma.</w:t>
      </w:r>
    </w:p>
    <w:p>
      <w:pPr>
        <w:pStyle w:val="Heading3"/>
      </w:pPr>
      <w:bookmarkStart w:id="34" w:name="por-qué-esta-política-1"/>
      <w:r>
        <w:t xml:space="preserve">Por qué esta política</w:t>
      </w:r>
      <w:bookmarkEnd w:id="34"/>
    </w:p>
    <w:p>
      <w:pPr>
        <w:pStyle w:val="FirstParagraph"/>
      </w:pPr>
      <w:r>
        <w:rPr>
          <w:b/>
        </w:rPr>
        <w:t xml:space="preserve">CoopCycle</w:t>
      </w:r>
      <w:r>
        <w:t xml:space="preserve"> </w:t>
      </w:r>
      <w:r>
        <w:t xml:space="preserve">es una federación europea de cooperativas de delivery que opera en 60+ ciudades. Los repartidores son dueños, eligen sus condiciones, y el código es abierto.</w:t>
      </w:r>
      <w:r>
        <w:t xml:space="preserve"> </w:t>
      </w:r>
      <w:r>
        <w:rPr>
          <w:b/>
        </w:rPr>
        <w:t xml:space="preserve">Up&amp;Go</w:t>
      </w:r>
      <w:r>
        <w:t xml:space="preserve"> </w:t>
      </w:r>
      <w:r>
        <w:t xml:space="preserve">en Nueva York es una cooperativa de servicios de limpieza donde las trabajadoras (mayoritariamente migrantes latinas) son dueñas de la app y reciben el 95% de cada pago.</w:t>
      </w:r>
      <w:r>
        <w:t xml:space="preserve"> </w:t>
      </w:r>
      <w:r>
        <w:rPr>
          <w:b/>
        </w:rPr>
        <w:t xml:space="preserve">Fairbnb</w:t>
      </w:r>
      <w:r>
        <w:t xml:space="preserve"> </w:t>
      </w:r>
      <w:r>
        <w:t xml:space="preserve">es la alternativa cooperativa a Airbnb: la mitad de la comisión se reinvierte en proyectos comunitarios del barrio.</w:t>
      </w:r>
    </w:p>
    <w:p>
      <w:pPr>
        <w:pStyle w:val="BodyText"/>
      </w:pPr>
      <w:r>
        <w:rPr>
          <w:b/>
        </w:rPr>
        <w:t xml:space="preserve">Mondragon</w:t>
      </w:r>
      <w:r>
        <w:t xml:space="preserve"> </w:t>
      </w:r>
      <w:r>
        <w:t xml:space="preserve">en el País Vasco demuestra que el modelo cooperativo funciona a escala: 70.000 trabajadores, €2.000 millones en valor anual, banco propio, universidad propia. La brecha salarial entre el puesto más bajo y el más alto es de 1 a 6 (en las corporaciones argentinas puede ser de 1 a 100+).</w:t>
      </w:r>
    </w:p>
    <w:p>
      <w:pPr>
        <w:pStyle w:val="BodyText"/>
      </w:pPr>
      <w:r>
        <w:t xml:space="preserve">Argentina tiene tradición cooperativa (19.076 cooperativas, 316.927 trabajadores) pero casi ninguna es digital. Con 160.000 repartidores precarizados, el potencial es enorme.</w:t>
      </w:r>
    </w:p>
    <w:p>
      <w:pPr>
        <w:pStyle w:val="Heading3"/>
      </w:pPr>
      <w:bookmarkStart w:id="35" w:name="diseño-para-argentina-1"/>
      <w:r>
        <w:t xml:space="preserve">Diseño para Argentina</w:t>
      </w:r>
      <w:bookmarkEnd w:id="35"/>
    </w:p>
    <w:p>
      <w:pPr>
        <w:pStyle w:val="FirstParagraph"/>
      </w:pPr>
      <w:r>
        <w:rPr>
          <w:b/>
        </w:rPr>
        <w:t xml:space="preserve">Tres líneas de acción:</w:t>
      </w:r>
    </w:p>
    <w:p>
      <w:pPr>
        <w:pStyle w:val="BodyText"/>
      </w:pPr>
      <w:r>
        <w:rPr>
          <w:b/>
        </w:rPr>
        <w:t xml:space="preserve">Línea A — Plataforma Nacional de Delivery Cooperativo:</w:t>
      </w:r>
      <w:r>
        <w:t xml:space="preserve"> </w:t>
      </w:r>
      <w:r>
        <w:t xml:space="preserve">- Desarrollo de app de código abierto (modelo CoopCycle) adaptada a Argentina</w:t>
      </w:r>
      <w:r>
        <w:t xml:space="preserve"> </w:t>
      </w:r>
      <w:r>
        <w:t xml:space="preserve">- Los repartidores son socios, eligen tarifas, condiciones de trabajo</w:t>
      </w:r>
      <w:r>
        <w:t xml:space="preserve"> </w:t>
      </w:r>
      <w:r>
        <w:t xml:space="preserve">- Integración con comercios locales (las PyMEs pagan menos comisión que a Rappi)</w:t>
      </w:r>
      <w:r>
        <w:t xml:space="preserve"> </w:t>
      </w:r>
      <w:r>
        <w:t xml:space="preserve">- Meta: 20.000 repartidores cooperativizados en 5 años</w:t>
      </w:r>
    </w:p>
    <w:p>
      <w:pPr>
        <w:pStyle w:val="BodyText"/>
      </w:pPr>
      <w:r>
        <w:rPr>
          <w:b/>
        </w:rPr>
        <w:t xml:space="preserve">Línea B — Cooperativas de Servicios Digitales:</w:t>
      </w:r>
      <w:r>
        <w:t xml:space="preserve"> </w:t>
      </w:r>
      <w:r>
        <w:t xml:space="preserve">- Limpieza (modelo Up&amp;Go), cuidado de personas, reparaciones, mudanzas</w:t>
      </w:r>
      <w:r>
        <w:t xml:space="preserve"> </w:t>
      </w:r>
      <w:r>
        <w:t xml:space="preserve">- Plataforma unificada con módulos por servicio</w:t>
      </w:r>
      <w:r>
        <w:t xml:space="preserve"> </w:t>
      </w:r>
      <w:r>
        <w:t xml:space="preserve">- Prioridad: mujeres de barrios populares, personas con discapacidad</w:t>
      </w:r>
      <w:r>
        <w:t xml:space="preserve"> </w:t>
      </w:r>
      <w:r>
        <w:t xml:space="preserve">- Meta: 200 cooperativas de servicios con 10.000 socias/os</w:t>
      </w:r>
    </w:p>
    <w:p>
      <w:pPr>
        <w:pStyle w:val="BodyText"/>
      </w:pPr>
      <w:r>
        <w:rPr>
          <w:b/>
        </w:rPr>
        <w:t xml:space="preserve">Línea C — Fondo Mondragon Argentino:</w:t>
      </w:r>
      <w:r>
        <w:t xml:space="preserve"> </w:t>
      </w:r>
      <w:r>
        <w:t xml:space="preserve">- Fondo de USD 100M para crear y fortalecer cooperativas en cualquier sector</w:t>
      </w:r>
      <w:r>
        <w:t xml:space="preserve"> </w:t>
      </w:r>
      <w:r>
        <w:t xml:space="preserve">- Asistencia técnica integral (gestión, legal, tecnología, comercialización)</w:t>
      </w:r>
      <w:r>
        <w:t xml:space="preserve"> </w:t>
      </w:r>
      <w:r>
        <w:t xml:space="preserve">- Incubadora cooperativa en cada provincia</w:t>
      </w:r>
      <w:r>
        <w:t xml:space="preserve"> </w:t>
      </w:r>
      <w:r>
        <w:t xml:space="preserve">- Conexión con universidades para formación de gestores cooperativos</w:t>
      </w:r>
      <w:r>
        <w:t xml:space="preserve"> </w:t>
      </w:r>
      <w:r>
        <w:t xml:space="preserve">- Meta: 1.000 cooperativas nuevas en 5 años</w:t>
      </w:r>
    </w:p>
    <w:p>
      <w:pPr>
        <w:pStyle w:val="Heading3"/>
      </w:pPr>
      <w:bookmarkStart w:id="36" w:name="costeo-1"/>
      <w:r>
        <w:t xml:space="preserve">Costeo</w:t>
      </w:r>
      <w:bookmarkEnd w:id="36"/>
    </w:p>
    <w:tbl>
      <w:tblPr>
        <w:tblStyle w:val="Table"/>
        <w:tblW w:type="pct" w:w="0.0"/>
        <w:tblLook w:firstRow="1"/>
      </w:tblPr>
      <w:tblGrid/>
      <w:tr>
        <w:trPr>
          <w:cnfStyle w:firstRow="1"/>
        </w:trPr>
        <w:tc>
          <w:tcPr>
            <w:tcBorders>
              <w:bottom w:val="single"/>
            </w:tcBorders>
            <w:vAlign w:val="bottom"/>
          </w:tcPr>
          <w:p>
            <w:pPr>
              <w:pStyle w:val="Compact"/>
              <w:jc w:val="left"/>
            </w:pPr>
            <w:r>
              <w:t xml:space="preserve">Concepto</w:t>
            </w:r>
          </w:p>
        </w:tc>
        <w:tc>
          <w:tcPr>
            <w:tcBorders>
              <w:bottom w:val="single"/>
            </w:tcBorders>
            <w:vAlign w:val="bottom"/>
          </w:tcPr>
          <w:p>
            <w:pPr>
              <w:pStyle w:val="Compact"/>
              <w:jc w:val="left"/>
            </w:pPr>
            <w:r>
              <w:t xml:space="preserve">Total (5 años)</w:t>
            </w:r>
          </w:p>
        </w:tc>
      </w:tr>
      <w:tr>
        <w:tc>
          <w:p>
            <w:pPr>
              <w:pStyle w:val="Compact"/>
              <w:jc w:val="left"/>
            </w:pPr>
            <w:r>
              <w:t xml:space="preserve">Desarrollo plataformas tecnológicas (código abierto)</w:t>
            </w:r>
          </w:p>
        </w:tc>
        <w:tc>
          <w:p>
            <w:pPr>
              <w:pStyle w:val="Compact"/>
              <w:jc w:val="left"/>
            </w:pPr>
            <w:r>
              <w:t xml:space="preserve">USD 30M</w:t>
            </w:r>
          </w:p>
        </w:tc>
      </w:tr>
      <w:tr>
        <w:tc>
          <w:p>
            <w:pPr>
              <w:pStyle w:val="Compact"/>
              <w:jc w:val="left"/>
            </w:pPr>
            <w:r>
              <w:t xml:space="preserve">Fondo Mondragon Argentino (capital semilla + asistencia técnica)</w:t>
            </w:r>
          </w:p>
        </w:tc>
        <w:tc>
          <w:p>
            <w:pPr>
              <w:pStyle w:val="Compact"/>
              <w:jc w:val="left"/>
            </w:pPr>
            <w:r>
              <w:t xml:space="preserve">USD 100M</w:t>
            </w:r>
          </w:p>
        </w:tc>
      </w:tr>
      <w:tr>
        <w:tc>
          <w:p>
            <w:pPr>
              <w:pStyle w:val="Compact"/>
              <w:jc w:val="left"/>
            </w:pPr>
            <w:r>
              <w:t xml:space="preserve">Incubadoras cooperativas provinciales (24)</w:t>
            </w:r>
          </w:p>
        </w:tc>
        <w:tc>
          <w:p>
            <w:pPr>
              <w:pStyle w:val="Compact"/>
              <w:jc w:val="left"/>
            </w:pPr>
            <w:r>
              <w:t xml:space="preserve">USD 48M</w:t>
            </w:r>
          </w:p>
        </w:tc>
      </w:tr>
      <w:tr>
        <w:tc>
          <w:p>
            <w:pPr>
              <w:pStyle w:val="Compact"/>
              <w:jc w:val="left"/>
            </w:pPr>
            <w:r>
              <w:t xml:space="preserve">Formación y capacitación de socios</w:t>
            </w:r>
          </w:p>
        </w:tc>
        <w:tc>
          <w:p>
            <w:pPr>
              <w:pStyle w:val="Compact"/>
              <w:jc w:val="left"/>
            </w:pPr>
            <w:r>
              <w:t xml:space="preserve">USD 22M</w:t>
            </w:r>
          </w:p>
        </w:tc>
      </w:tr>
      <w:tr>
        <w:tc>
          <w:p>
            <w:pPr>
              <w:pStyle w:val="Compact"/>
              <w:jc w:val="left"/>
            </w:pPr>
            <w:r>
              <w:rPr>
                <w:b/>
              </w:rPr>
              <w:t xml:space="preserve">Total</w:t>
            </w:r>
          </w:p>
        </w:tc>
        <w:tc>
          <w:p>
            <w:pPr>
              <w:pStyle w:val="Compact"/>
              <w:jc w:val="left"/>
            </w:pPr>
            <w:r>
              <w:rPr>
                <w:b/>
              </w:rPr>
              <w:t xml:space="preserve">USD 200M</w:t>
            </w:r>
          </w:p>
        </w:tc>
      </w:tr>
    </w:tbl>
    <w:p>
      <w:pPr>
        <w:pStyle w:val="Heading3"/>
      </w:pPr>
      <w:bookmarkStart w:id="37" w:name="financiamiento-1"/>
      <w:r>
        <w:t xml:space="preserve">Financiamiento</w:t>
      </w:r>
      <w:bookmarkEnd w:id="37"/>
    </w:p>
    <w:tbl>
      <w:tblPr>
        <w:tblStyle w:val="Table"/>
        <w:tblW w:type="pct" w:w="0.0"/>
        <w:tblLook w:firstRow="1"/>
      </w:tblPr>
      <w:tblGrid/>
      <w:tr>
        <w:trPr>
          <w:cnfStyle w:firstRow="1"/>
        </w:trPr>
        <w:tc>
          <w:tcPr>
            <w:tcBorders>
              <w:bottom w:val="single"/>
            </w:tcBorders>
            <w:vAlign w:val="bottom"/>
          </w:tcPr>
          <w:p>
            <w:pPr>
              <w:pStyle w:val="Compact"/>
              <w:jc w:val="left"/>
            </w:pPr>
            <w:r>
              <w:t xml:space="preserve">Fuente</w:t>
            </w:r>
          </w:p>
        </w:tc>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Monto</w:t>
            </w:r>
          </w:p>
        </w:tc>
      </w:tr>
      <w:tr>
        <w:tc>
          <w:p>
            <w:pPr>
              <w:pStyle w:val="Compact"/>
              <w:jc w:val="left"/>
            </w:pPr>
            <w:r>
              <w:t xml:space="preserve">Presupuesto nacional (Min. Economía Social)</w:t>
            </w:r>
          </w:p>
        </w:tc>
        <w:tc>
          <w:p>
            <w:pPr>
              <w:pStyle w:val="Compact"/>
              <w:jc w:val="left"/>
            </w:pPr>
            <w:r>
              <w:t xml:space="preserve">35%</w:t>
            </w:r>
          </w:p>
        </w:tc>
        <w:tc>
          <w:p>
            <w:pPr>
              <w:pStyle w:val="Compact"/>
              <w:jc w:val="left"/>
            </w:pPr>
            <w:r>
              <w:t xml:space="preserve">USD 70M</w:t>
            </w:r>
          </w:p>
        </w:tc>
      </w:tr>
      <w:tr>
        <w:tc>
          <w:p>
            <w:pPr>
              <w:pStyle w:val="Compact"/>
              <w:jc w:val="left"/>
            </w:pPr>
            <w:r>
              <w:t xml:space="preserve">BID / CAF (línea de economía social)</w:t>
            </w:r>
          </w:p>
        </w:tc>
        <w:tc>
          <w:p>
            <w:pPr>
              <w:pStyle w:val="Compact"/>
              <w:jc w:val="left"/>
            </w:pPr>
            <w:r>
              <w:t xml:space="preserve">30%</w:t>
            </w:r>
          </w:p>
        </w:tc>
        <w:tc>
          <w:p>
            <w:pPr>
              <w:pStyle w:val="Compact"/>
              <w:jc w:val="left"/>
            </w:pPr>
            <w:r>
              <w:t xml:space="preserve">USD 60M</w:t>
            </w:r>
          </w:p>
        </w:tc>
      </w:tr>
      <w:tr>
        <w:tc>
          <w:p>
            <w:pPr>
              <w:pStyle w:val="Compact"/>
              <w:jc w:val="left"/>
            </w:pPr>
            <w:r>
              <w:t xml:space="preserve">Fundaciones internacionales (Ford, Avina, Open Society)</w:t>
            </w:r>
          </w:p>
        </w:tc>
        <w:tc>
          <w:p>
            <w:pPr>
              <w:pStyle w:val="Compact"/>
              <w:jc w:val="left"/>
            </w:pPr>
            <w:r>
              <w:t xml:space="preserve">20%</w:t>
            </w:r>
          </w:p>
        </w:tc>
        <w:tc>
          <w:p>
            <w:pPr>
              <w:pStyle w:val="Compact"/>
              <w:jc w:val="left"/>
            </w:pPr>
            <w:r>
              <w:t xml:space="preserve">USD 40M</w:t>
            </w:r>
          </w:p>
        </w:tc>
      </w:tr>
      <w:tr>
        <w:tc>
          <w:p>
            <w:pPr>
              <w:pStyle w:val="Compact"/>
              <w:jc w:val="left"/>
            </w:pPr>
            <w:r>
              <w:t xml:space="preserve">Contribución de cooperativas exitosas (% de excedentes)</w:t>
            </w:r>
          </w:p>
        </w:tc>
        <w:tc>
          <w:p>
            <w:pPr>
              <w:pStyle w:val="Compact"/>
              <w:jc w:val="left"/>
            </w:pPr>
            <w:r>
              <w:t xml:space="preserve">15%</w:t>
            </w:r>
          </w:p>
        </w:tc>
        <w:tc>
          <w:p>
            <w:pPr>
              <w:pStyle w:val="Compact"/>
              <w:jc w:val="left"/>
            </w:pPr>
            <w:r>
              <w:t xml:space="preserve">USD 30M</w:t>
            </w:r>
          </w:p>
        </w:tc>
      </w:tr>
    </w:tbl>
    <w:p>
      <w:r>
        <w:pict>
          <v:rect style="width:0;height:1.5pt" o:hralign="center" o:hrstd="t" o:hr="t"/>
        </w:pict>
      </w:r>
    </w:p>
    <w:p>
      <w:pPr>
        <w:pStyle w:val="Heading2"/>
      </w:pPr>
      <w:bookmarkStart w:id="38" w:name="X55b06718b586f533a480431ac309166b0653271"/>
      <w:r>
        <w:t xml:space="preserve">Política 3: Formación para la Era de la IA —</w:t>
      </w:r>
      <w:r>
        <w:t xml:space="preserve"> </w:t>
      </w:r>
      <w:r>
        <w:t xml:space="preserve">“</w:t>
      </w:r>
      <w:r>
        <w:t xml:space="preserve">Aprender toda la vida</w:t>
      </w:r>
      <w:r>
        <w:t xml:space="preserve">”</w:t>
      </w:r>
      <w:bookmarkEnd w:id="38"/>
    </w:p>
    <w:p>
      <w:pPr>
        <w:pStyle w:val="FirstParagraph"/>
      </w:pPr>
      <w:r>
        <w:rPr>
          <w:i/>
        </w:rPr>
        <w:t xml:space="preserve">Inspirada en SkillsFuture (Singapur), el sistema dual alemán, las Escuelas de Oficios de Finlandia, y el programa Ceibal de Uruguay</w:t>
      </w:r>
    </w:p>
    <w:p>
      <w:pPr>
        <w:pStyle w:val="Heading3"/>
      </w:pPr>
      <w:bookmarkStart w:id="39" w:name="qué-es-2"/>
      <w:r>
        <w:t xml:space="preserve">Qué es</w:t>
      </w:r>
      <w:bookmarkEnd w:id="39"/>
    </w:p>
    <w:p>
      <w:pPr>
        <w:pStyle w:val="FirstParagraph"/>
      </w:pPr>
      <w:r>
        <w:t xml:space="preserve">Un sistema nacional de formación laboral continua que prepara a los trabajadores argentinos para los cambios que trae la inteligencia artificial. No es un curso de programación — es un ecosistema completo que combina formación técnica, habilidades humanas (las que la IA no reemplaza), y acompañamiento para la transición.</w:t>
      </w:r>
    </w:p>
    <w:p>
      <w:pPr>
        <w:pStyle w:val="Heading3"/>
      </w:pPr>
      <w:bookmarkStart w:id="40" w:name="por-qué-esta-política-2"/>
      <w:r>
        <w:t xml:space="preserve">Por qué esta política</w:t>
      </w:r>
      <w:bookmarkEnd w:id="40"/>
    </w:p>
    <w:p>
      <w:pPr>
        <w:pStyle w:val="FirstParagraph"/>
      </w:pPr>
      <w:r>
        <w:rPr>
          <w:b/>
        </w:rPr>
        <w:t xml:space="preserve">SkillsFuture</w:t>
      </w:r>
      <w:r>
        <w:t xml:space="preserve"> </w:t>
      </w:r>
      <w:r>
        <w:t xml:space="preserve">de Singapur le da a cada ciudadano mayor de 25 años un crédito de S$500 (renovable) para usar en cualquier curso aprobado — desde cocina hasta machine learning. El catálogo tiene 24.000 cursos. El gobierno cubre hasta el 90% del costo para trabajadores de mediana edad. Resultado: Singapur tiene la tasa de desempleo más baja del mundo desarrollado y la fuerza laboral más adaptable.</w:t>
      </w:r>
    </w:p>
    <w:p>
      <w:pPr>
        <w:pStyle w:val="BodyText"/>
      </w:pPr>
      <w:r>
        <w:t xml:space="preserve">El</w:t>
      </w:r>
      <w:r>
        <w:t xml:space="preserve"> </w:t>
      </w:r>
      <w:r>
        <w:rPr>
          <w:b/>
        </w:rPr>
        <w:t xml:space="preserve">sistema dual alemán</w:t>
      </w:r>
      <w:r>
        <w:t xml:space="preserve"> </w:t>
      </w:r>
      <w:r>
        <w:t xml:space="preserve">forma a 1,3 millones de jóvenes al año combinando empresa y escuela. El aprendiz trabaja 3-4 días en una empresa real y estudia 1-2 días. El 68% de los graduados se queda en la empresa que los formó. Es la razón principal del bajísimo desempleo juvenil alemán (5,8% vs 13,8% en Argentina).</w:t>
      </w:r>
    </w:p>
    <w:p>
      <w:pPr>
        <w:pStyle w:val="BodyText"/>
      </w:pPr>
      <w:r>
        <w:t xml:space="preserve">En Argentina, el</w:t>
      </w:r>
      <w:r>
        <w:t xml:space="preserve"> </w:t>
      </w:r>
      <w:r>
        <w:rPr>
          <w:b/>
        </w:rPr>
        <w:t xml:space="preserve">54% de los puestos de trabajo están en riesgo</w:t>
      </w:r>
      <w:r>
        <w:t xml:space="preserve"> </w:t>
      </w:r>
      <w:r>
        <w:t xml:space="preserve">por automatización. Pero</w:t>
      </w:r>
      <w:r>
        <w:t xml:space="preserve"> </w:t>
      </w:r>
      <w:r>
        <w:t xml:space="preserve">“</w:t>
      </w:r>
      <w:r>
        <w:t xml:space="preserve">en riesgo</w:t>
      </w:r>
      <w:r>
        <w:t xml:space="preserve">”</w:t>
      </w:r>
      <w:r>
        <w:t xml:space="preserve"> </w:t>
      </w:r>
      <w:r>
        <w:t xml:space="preserve">no significa</w:t>
      </w:r>
      <w:r>
        <w:t xml:space="preserve"> </w:t>
      </w:r>
      <w:r>
        <w:t xml:space="preserve">“</w:t>
      </w:r>
      <w:r>
        <w:t xml:space="preserve">condenados</w:t>
      </w:r>
      <w:r>
        <w:t xml:space="preserve">”</w:t>
      </w:r>
      <w:r>
        <w:t xml:space="preserve">: significa que van a cambiar, y la gente necesita herramientas para adaptarse. Un cajero de supermercado no necesita aprender Python — necesita herramientas para gestionar inventario con IA, atención al cliente compleja, logística de última milla.</w:t>
      </w:r>
    </w:p>
    <w:p>
      <w:pPr>
        <w:pStyle w:val="Heading3"/>
      </w:pPr>
      <w:bookmarkStart w:id="41" w:name="diseño-para-argentina-2"/>
      <w:r>
        <w:t xml:space="preserve">Diseño para Argentina</w:t>
      </w:r>
      <w:bookmarkEnd w:id="41"/>
    </w:p>
    <w:p>
      <w:pPr>
        <w:pStyle w:val="FirstParagraph"/>
      </w:pPr>
      <w:r>
        <w:rPr>
          <w:b/>
        </w:rPr>
        <w:t xml:space="preserve">Componente 1 — Crédito de Formación Universal:</w:t>
      </w:r>
      <w:r>
        <w:t xml:space="preserve"> </w:t>
      </w:r>
      <w:r>
        <w:t xml:space="preserve">- Toda persona mayor de 18 años recibe un crédito anual equivalente a USD 300 para formación</w:t>
      </w:r>
      <w:r>
        <w:t xml:space="preserve"> </w:t>
      </w:r>
      <w:r>
        <w:t xml:space="preserve">- Válido en instituciones acreditadas (públicas y privadas)</w:t>
      </w:r>
      <w:r>
        <w:t xml:space="preserve"> </w:t>
      </w:r>
      <w:r>
        <w:t xml:space="preserve">- Catálogo de cursos evaluados por calidad y pertinencia laboral</w:t>
      </w:r>
      <w:r>
        <w:t xml:space="preserve"> </w:t>
      </w:r>
      <w:r>
        <w:t xml:space="preserve">- Prioridad: trabajadores informales, desempleados, mayores de 40</w:t>
      </w:r>
    </w:p>
    <w:p>
      <w:pPr>
        <w:pStyle w:val="BodyText"/>
      </w:pPr>
      <w:r>
        <w:rPr>
          <w:b/>
        </w:rPr>
        <w:t xml:space="preserve">Componente 2 — Red Nacional de Formación Dual:</w:t>
      </w:r>
      <w:r>
        <w:t xml:space="preserve"> </w:t>
      </w:r>
      <w:r>
        <w:t xml:space="preserve">- 500 empresas asociadas (PyMEs priorizadas) ofrecen puestos de aprendizaje</w:t>
      </w:r>
      <w:r>
        <w:t xml:space="preserve"> </w:t>
      </w:r>
      <w:r>
        <w:t xml:space="preserve">- 3 días en empresa + 2 días en centro de formación</w:t>
      </w:r>
      <w:r>
        <w:t xml:space="preserve"> </w:t>
      </w:r>
      <w:r>
        <w:t xml:space="preserve">- Dirigido a jóvenes de 18-25 que no estudian ni trabajan (estimados en 1,5M)</w:t>
      </w:r>
      <w:r>
        <w:t xml:space="preserve"> </w:t>
      </w:r>
      <w:r>
        <w:t xml:space="preserve">- Meta: 50.000 aprendices por año</w:t>
      </w:r>
    </w:p>
    <w:p>
      <w:pPr>
        <w:pStyle w:val="BodyText"/>
      </w:pPr>
      <w:r>
        <w:rPr>
          <w:b/>
        </w:rPr>
        <w:t xml:space="preserve">Componente 3 — Centros de Reconversión Laboral:</w:t>
      </w:r>
      <w:r>
        <w:t xml:space="preserve"> </w:t>
      </w:r>
      <w:r>
        <w:t xml:space="preserve">- 100 centros en todo el país (priorizando zonas con alto impacto de automatización)</w:t>
      </w:r>
      <w:r>
        <w:t xml:space="preserve"> </w:t>
      </w:r>
      <w:r>
        <w:t xml:space="preserve">- Diagnóstico de competencias + plan de formación personalizado</w:t>
      </w:r>
      <w:r>
        <w:t xml:space="preserve"> </w:t>
      </w:r>
      <w:r>
        <w:t xml:space="preserve">- Acompañamiento de 6 meses (incluyendo apoyo psicológico y financiero)</w:t>
      </w:r>
      <w:r>
        <w:t xml:space="preserve"> </w:t>
      </w:r>
      <w:r>
        <w:t xml:space="preserve">- Especialización en: IA aplicada al oficio actual, habilidades de cuidado, economía circular, energías renovables, servicios digitales</w:t>
      </w:r>
    </w:p>
    <w:p>
      <w:pPr>
        <w:pStyle w:val="BodyText"/>
      </w:pPr>
      <w:r>
        <w:rPr>
          <w:b/>
        </w:rPr>
        <w:t xml:space="preserve">Componente 4 — Universidad de la IA Pública y Gratuita:</w:t>
      </w:r>
      <w:r>
        <w:t xml:space="preserve"> </w:t>
      </w:r>
      <w:r>
        <w:t xml:space="preserve">- Plataforma online de formación en IA con contenido en español</w:t>
      </w:r>
      <w:r>
        <w:t xml:space="preserve"> </w:t>
      </w:r>
      <w:r>
        <w:t xml:space="preserve">- Desde alfabetización digital hasta machine learning avanzado</w:t>
      </w:r>
      <w:r>
        <w:t xml:space="preserve"> </w:t>
      </w:r>
      <w:r>
        <w:t xml:space="preserve">- Certificaciones reconocidas por el mercado laboral</w:t>
      </w:r>
      <w:r>
        <w:t xml:space="preserve"> </w:t>
      </w:r>
      <w:r>
        <w:t xml:space="preserve">- Alianzas con Globant, MercadoLibre, universidades públicas</w:t>
      </w:r>
    </w:p>
    <w:p>
      <w:pPr>
        <w:pStyle w:val="Heading3"/>
      </w:pPr>
      <w:bookmarkStart w:id="42" w:name="costeo-2"/>
      <w:r>
        <w:t xml:space="preserve">Costeo</w:t>
      </w:r>
      <w:bookmarkEnd w:id="42"/>
    </w:p>
    <w:tbl>
      <w:tblPr>
        <w:tblStyle w:val="Table"/>
        <w:tblW w:type="pct" w:w="0.0"/>
        <w:tblLook w:firstRow="1"/>
      </w:tblPr>
      <w:tblGrid/>
      <w:tr>
        <w:trPr>
          <w:cnfStyle w:firstRow="1"/>
        </w:trPr>
        <w:tc>
          <w:tcPr>
            <w:tcBorders>
              <w:bottom w:val="single"/>
            </w:tcBorders>
            <w:vAlign w:val="bottom"/>
          </w:tcPr>
          <w:p>
            <w:pPr>
              <w:pStyle w:val="Compact"/>
              <w:jc w:val="left"/>
            </w:pPr>
            <w:r>
              <w:t xml:space="preserve">Concepto</w:t>
            </w:r>
          </w:p>
        </w:tc>
        <w:tc>
          <w:tcPr>
            <w:tcBorders>
              <w:bottom w:val="single"/>
            </w:tcBorders>
            <w:vAlign w:val="bottom"/>
          </w:tcPr>
          <w:p>
            <w:pPr>
              <w:pStyle w:val="Compact"/>
              <w:jc w:val="left"/>
            </w:pPr>
            <w:r>
              <w:t xml:space="preserve">Total (5 años)</w:t>
            </w:r>
          </w:p>
        </w:tc>
      </w:tr>
      <w:tr>
        <w:tc>
          <w:p>
            <w:pPr>
              <w:pStyle w:val="Compact"/>
              <w:jc w:val="left"/>
            </w:pPr>
            <w:r>
              <w:t xml:space="preserve">Créditos de formación (5M personas × USD 300 × 5 años)</w:t>
            </w:r>
          </w:p>
        </w:tc>
        <w:tc>
          <w:p>
            <w:pPr>
              <w:pStyle w:val="Compact"/>
              <w:jc w:val="left"/>
            </w:pPr>
            <w:r>
              <w:t xml:space="preserve">USD 7.500M</w:t>
            </w:r>
          </w:p>
        </w:tc>
      </w:tr>
      <w:tr>
        <w:tc>
          <w:p>
            <w:pPr>
              <w:pStyle w:val="Compact"/>
              <w:jc w:val="left"/>
            </w:pPr>
            <w:r>
              <w:t xml:space="preserve">Red de Formación Dual (50K aprendices/año)</w:t>
            </w:r>
          </w:p>
        </w:tc>
        <w:tc>
          <w:p>
            <w:pPr>
              <w:pStyle w:val="Compact"/>
              <w:jc w:val="left"/>
            </w:pPr>
            <w:r>
              <w:t xml:space="preserve">USD 1.250M</w:t>
            </w:r>
          </w:p>
        </w:tc>
      </w:tr>
      <w:tr>
        <w:tc>
          <w:p>
            <w:pPr>
              <w:pStyle w:val="Compact"/>
              <w:jc w:val="left"/>
            </w:pPr>
            <w:r>
              <w:t xml:space="preserve">100 Centros de Reconversión Laboral</w:t>
            </w:r>
          </w:p>
        </w:tc>
        <w:tc>
          <w:p>
            <w:pPr>
              <w:pStyle w:val="Compact"/>
              <w:jc w:val="left"/>
            </w:pPr>
            <w:r>
              <w:t xml:space="preserve">USD 500M</w:t>
            </w:r>
          </w:p>
        </w:tc>
      </w:tr>
      <w:tr>
        <w:tc>
          <w:p>
            <w:pPr>
              <w:pStyle w:val="Compact"/>
              <w:jc w:val="left"/>
            </w:pPr>
            <w:r>
              <w:t xml:space="preserve">Universidad de la IA (plataforma + contenido)</w:t>
            </w:r>
          </w:p>
        </w:tc>
        <w:tc>
          <w:p>
            <w:pPr>
              <w:pStyle w:val="Compact"/>
              <w:jc w:val="left"/>
            </w:pPr>
            <w:r>
              <w:t xml:space="preserve">USD 150M</w:t>
            </w:r>
          </w:p>
        </w:tc>
      </w:tr>
      <w:tr>
        <w:tc>
          <w:p>
            <w:pPr>
              <w:pStyle w:val="Compact"/>
              <w:jc w:val="left"/>
            </w:pPr>
            <w:r>
              <w:rPr>
                <w:b/>
              </w:rPr>
              <w:t xml:space="preserve">Total</w:t>
            </w:r>
          </w:p>
        </w:tc>
        <w:tc>
          <w:p>
            <w:pPr>
              <w:pStyle w:val="Compact"/>
              <w:jc w:val="left"/>
            </w:pPr>
            <w:r>
              <w:rPr>
                <w:b/>
              </w:rPr>
              <w:t xml:space="preserve">USD 9.400M</w:t>
            </w:r>
          </w:p>
        </w:tc>
      </w:tr>
    </w:tbl>
    <w:p>
      <w:pPr>
        <w:pStyle w:val="Heading3"/>
      </w:pPr>
      <w:bookmarkStart w:id="43" w:name="financiamiento-2"/>
      <w:r>
        <w:t xml:space="preserve">Financiamiento</w:t>
      </w:r>
      <w:bookmarkEnd w:id="43"/>
    </w:p>
    <w:tbl>
      <w:tblPr>
        <w:tblStyle w:val="Table"/>
        <w:tblW w:type="pct" w:w="0.0"/>
        <w:tblLook w:firstRow="1"/>
      </w:tblPr>
      <w:tblGrid/>
      <w:tr>
        <w:trPr>
          <w:cnfStyle w:firstRow="1"/>
        </w:trPr>
        <w:tc>
          <w:tcPr>
            <w:tcBorders>
              <w:bottom w:val="single"/>
            </w:tcBorders>
            <w:vAlign w:val="bottom"/>
          </w:tcPr>
          <w:p>
            <w:pPr>
              <w:pStyle w:val="Compact"/>
              <w:jc w:val="left"/>
            </w:pPr>
            <w:r>
              <w:t xml:space="preserve">Fuente</w:t>
            </w:r>
          </w:p>
        </w:tc>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Monto</w:t>
            </w:r>
          </w:p>
        </w:tc>
      </w:tr>
      <w:tr>
        <w:tc>
          <w:p>
            <w:pPr>
              <w:pStyle w:val="Compact"/>
              <w:jc w:val="left"/>
            </w:pPr>
            <w:r>
              <w:t xml:space="preserve">Presupuesto nacional (educación + trabajo)</w:t>
            </w:r>
          </w:p>
        </w:tc>
        <w:tc>
          <w:p>
            <w:pPr>
              <w:pStyle w:val="Compact"/>
              <w:jc w:val="left"/>
            </w:pPr>
            <w:r>
              <w:t xml:space="preserve">40%</w:t>
            </w:r>
          </w:p>
        </w:tc>
        <w:tc>
          <w:p>
            <w:pPr>
              <w:pStyle w:val="Compact"/>
              <w:jc w:val="left"/>
            </w:pPr>
            <w:r>
              <w:t xml:space="preserve">USD 3.760M</w:t>
            </w:r>
          </w:p>
        </w:tc>
      </w:tr>
      <w:tr>
        <w:tc>
          <w:p>
            <w:pPr>
              <w:pStyle w:val="Compact"/>
              <w:jc w:val="left"/>
            </w:pPr>
            <w:r>
              <w:t xml:space="preserve">Impuesto a empresas tech (1% facturación &gt;USD 10M)</w:t>
            </w:r>
          </w:p>
        </w:tc>
        <w:tc>
          <w:p>
            <w:pPr>
              <w:pStyle w:val="Compact"/>
              <w:jc w:val="left"/>
            </w:pPr>
            <w:r>
              <w:t xml:space="preserve">20%</w:t>
            </w:r>
          </w:p>
        </w:tc>
        <w:tc>
          <w:p>
            <w:pPr>
              <w:pStyle w:val="Compact"/>
              <w:jc w:val="left"/>
            </w:pPr>
            <w:r>
              <w:t xml:space="preserve">USD 1.880M</w:t>
            </w:r>
          </w:p>
        </w:tc>
      </w:tr>
      <w:tr>
        <w:tc>
          <w:p>
            <w:pPr>
              <w:pStyle w:val="Compact"/>
              <w:jc w:val="left"/>
            </w:pPr>
            <w:r>
              <w:t xml:space="preserve">Organismos multilaterales (BID, Banco Mundial)</w:t>
            </w:r>
          </w:p>
        </w:tc>
        <w:tc>
          <w:p>
            <w:pPr>
              <w:pStyle w:val="Compact"/>
              <w:jc w:val="left"/>
            </w:pPr>
            <w:r>
              <w:t xml:space="preserve">25%</w:t>
            </w:r>
          </w:p>
        </w:tc>
        <w:tc>
          <w:p>
            <w:pPr>
              <w:pStyle w:val="Compact"/>
              <w:jc w:val="left"/>
            </w:pPr>
            <w:r>
              <w:t xml:space="preserve">USD 2.350M</w:t>
            </w:r>
          </w:p>
        </w:tc>
      </w:tr>
      <w:tr>
        <w:tc>
          <w:p>
            <w:pPr>
              <w:pStyle w:val="Compact"/>
              <w:jc w:val="left"/>
            </w:pPr>
            <w:r>
              <w:t xml:space="preserve">Empresas asociadas (formación dual)</w:t>
            </w:r>
          </w:p>
        </w:tc>
        <w:tc>
          <w:p>
            <w:pPr>
              <w:pStyle w:val="Compact"/>
              <w:jc w:val="left"/>
            </w:pPr>
            <w:r>
              <w:t xml:space="preserve">15%</w:t>
            </w:r>
          </w:p>
        </w:tc>
        <w:tc>
          <w:p>
            <w:pPr>
              <w:pStyle w:val="Compact"/>
              <w:jc w:val="left"/>
            </w:pPr>
            <w:r>
              <w:t xml:space="preserve">USD 1.410M</w:t>
            </w:r>
          </w:p>
        </w:tc>
      </w:tr>
    </w:tbl>
    <w:p>
      <w:r>
        <w:pict>
          <v:rect style="width:0;height:1.5pt" o:hralign="center" o:hrstd="t" o:hr="t"/>
        </w:pict>
      </w:r>
    </w:p>
    <w:p>
      <w:pPr>
        <w:pStyle w:val="Heading2"/>
      </w:pPr>
      <w:bookmarkStart w:id="44" w:name="X76eebce60a141636e34ed52df6f61ff536ce82e"/>
      <w:r>
        <w:t xml:space="preserve">Política 4: Economía Circular y Empleos Verdes —</w:t>
      </w:r>
      <w:r>
        <w:t xml:space="preserve"> </w:t>
      </w:r>
      <w:r>
        <w:t xml:space="preserve">“</w:t>
      </w:r>
      <w:r>
        <w:t xml:space="preserve">Nada se tira, todo se transforma</w:t>
      </w:r>
      <w:r>
        <w:t xml:space="preserve">”</w:t>
      </w:r>
      <w:bookmarkEnd w:id="44"/>
    </w:p>
    <w:p>
      <w:pPr>
        <w:pStyle w:val="FirstParagraph"/>
      </w:pPr>
      <w:r>
        <w:rPr>
          <w:i/>
        </w:rPr>
        <w:t xml:space="preserve">Inspirada en Ámsterdam (estrategia circular), Costa Rica (empleos verdes), Emilia-Romagna (distritos industriales cooperativos), y los cartoneros argentinos</w:t>
      </w:r>
    </w:p>
    <w:p>
      <w:pPr>
        <w:pStyle w:val="Heading3"/>
      </w:pPr>
      <w:bookmarkStart w:id="45" w:name="qué-es-3"/>
      <w:r>
        <w:t xml:space="preserve">Qué es</w:t>
      </w:r>
      <w:bookmarkEnd w:id="45"/>
    </w:p>
    <w:p>
      <w:pPr>
        <w:pStyle w:val="FirstParagraph"/>
      </w:pPr>
      <w:r>
        <w:t xml:space="preserve">Una política que transforma la economía lineal (extraer-producir-tirar) en circular (reducir-reutilizar-reciclar-regenerar), creando cientos de miles de empleos dignos en el proceso. Incluye formalización y dignificación de los recicladores urbanos (cartoneros), creación de nuevas industrias de reparación y reutilización, y transformación de los residuos en recurso económico.</w:t>
      </w:r>
    </w:p>
    <w:p>
      <w:pPr>
        <w:pStyle w:val="Heading3"/>
      </w:pPr>
      <w:bookmarkStart w:id="46" w:name="por-qué-esta-política-3"/>
      <w:r>
        <w:t xml:space="preserve">Por qué esta política</w:t>
      </w:r>
      <w:bookmarkEnd w:id="46"/>
    </w:p>
    <w:p>
      <w:pPr>
        <w:pStyle w:val="FirstParagraph"/>
      </w:pPr>
      <w:r>
        <w:rPr>
          <w:b/>
        </w:rPr>
        <w:t xml:space="preserve">Ámsterdam</w:t>
      </w:r>
      <w:r>
        <w:t xml:space="preserve"> </w:t>
      </w:r>
      <w:r>
        <w:t xml:space="preserve">se propuso ser 100% circular para 2050. Ya redujo el uso de materias primas un 20% y creó miles de empleos en reparación, reciclaje y remanufactura. El modelo: cada barrio tiene un</w:t>
      </w:r>
      <w:r>
        <w:t xml:space="preserve"> </w:t>
      </w:r>
      <w:r>
        <w:t xml:space="preserve">“</w:t>
      </w:r>
      <w:r>
        <w:t xml:space="preserve">circulair centrum</w:t>
      </w:r>
      <w:r>
        <w:t xml:space="preserve">”</w:t>
      </w:r>
      <w:r>
        <w:t xml:space="preserve"> </w:t>
      </w:r>
      <w:r>
        <w:t xml:space="preserve">donde se reparan, reutilizan y transforman objetos.</w:t>
      </w:r>
    </w:p>
    <w:p>
      <w:pPr>
        <w:pStyle w:val="BodyText"/>
      </w:pPr>
      <w:r>
        <w:rPr>
          <w:b/>
        </w:rPr>
        <w:t xml:space="preserve">Costa Rica</w:t>
      </w:r>
      <w:r>
        <w:t xml:space="preserve"> </w:t>
      </w:r>
      <w:r>
        <w:t xml:space="preserve">genera el 7% de su empleo en</w:t>
      </w:r>
      <w:r>
        <w:t xml:space="preserve"> </w:t>
      </w:r>
      <w:r>
        <w:t xml:space="preserve">“</w:t>
      </w:r>
      <w:r>
        <w:t xml:space="preserve">empleos verdes</w:t>
      </w:r>
      <w:r>
        <w:t xml:space="preserve">”</w:t>
      </w:r>
      <w:r>
        <w:t xml:space="preserve"> </w:t>
      </w:r>
      <w:r>
        <w:t xml:space="preserve">— turismo regenerativo, energía renovable, agricultura orgánica, gestión de residuos.</w:t>
      </w:r>
    </w:p>
    <w:p>
      <w:pPr>
        <w:pStyle w:val="BodyText"/>
      </w:pPr>
      <w:r>
        <w:t xml:space="preserve">En Argentina, los</w:t>
      </w:r>
      <w:r>
        <w:t xml:space="preserve"> </w:t>
      </w:r>
      <w:r>
        <w:rPr>
          <w:b/>
        </w:rPr>
        <w:t xml:space="preserve">cartoneros</w:t>
      </w:r>
      <w:r>
        <w:t xml:space="preserve"> </w:t>
      </w:r>
      <w:r>
        <w:t xml:space="preserve">son la base invisible de la economía circular: recuperan el 50% de los materiales reciclables del país, pero trabajan en condiciones de extrema precariedad. El programa los reconoce, formaliza y dignifica, y construye industria sobre lo que ellos ya hacen.</w:t>
      </w:r>
    </w:p>
    <w:p>
      <w:pPr>
        <w:pStyle w:val="Heading3"/>
      </w:pPr>
      <w:bookmarkStart w:id="47" w:name="diseño-para-argentina-3"/>
      <w:r>
        <w:t xml:space="preserve">Diseño para Argentina</w:t>
      </w:r>
      <w:bookmarkEnd w:id="47"/>
    </w:p>
    <w:p>
      <w:pPr>
        <w:pStyle w:val="FirstParagraph"/>
      </w:pPr>
      <w:r>
        <w:rPr>
          <w:b/>
        </w:rPr>
        <w:t xml:space="preserve">Componente 1 — Dignificación del Reciclaje:</w:t>
      </w:r>
      <w:r>
        <w:t xml:space="preserve"> </w:t>
      </w:r>
      <w:r>
        <w:t xml:space="preserve">- Formalización de 150.000 recicladores urbanos como trabajadores de economía circular</w:t>
      </w:r>
      <w:r>
        <w:t xml:space="preserve"> </w:t>
      </w:r>
      <w:r>
        <w:t xml:space="preserve">- Cooperativas de reciclaje con planta propia en cada ciudad de &gt;50.000 habitantes</w:t>
      </w:r>
      <w:r>
        <w:t xml:space="preserve"> </w:t>
      </w:r>
      <w:r>
        <w:t xml:space="preserve">- Equipamiento: camiones, prensas, clasificadoras</w:t>
      </w:r>
      <w:r>
        <w:t xml:space="preserve"> </w:t>
      </w:r>
      <w:r>
        <w:t xml:space="preserve">- Salario: equivalente a empleo formal con obra social y jubilación</w:t>
      </w:r>
      <w:r>
        <w:t xml:space="preserve"> </w:t>
      </w:r>
      <w:r>
        <w:t xml:space="preserve">- Meta: 150.000 recicladores formalizados</w:t>
      </w:r>
    </w:p>
    <w:p>
      <w:pPr>
        <w:pStyle w:val="BodyText"/>
      </w:pPr>
      <w:r>
        <w:rPr>
          <w:b/>
        </w:rPr>
        <w:t xml:space="preserve">Componente 2 — Red Nacional de Centros de Reparación y Reutilización:</w:t>
      </w:r>
      <w:r>
        <w:t xml:space="preserve"> </w:t>
      </w:r>
      <w:r>
        <w:t xml:space="preserve">- 500</w:t>
      </w:r>
      <w:r>
        <w:t xml:space="preserve"> </w:t>
      </w:r>
      <w:r>
        <w:t xml:space="preserve">“</w:t>
      </w:r>
      <w:r>
        <w:t xml:space="preserve">Centros Circulares</w:t>
      </w:r>
      <w:r>
        <w:t xml:space="preserve">”</w:t>
      </w:r>
      <w:r>
        <w:t xml:space="preserve"> </w:t>
      </w:r>
      <w:r>
        <w:t xml:space="preserve">en todo el país (modelo Ámsterdam)</w:t>
      </w:r>
      <w:r>
        <w:t xml:space="preserve"> </w:t>
      </w:r>
      <w:r>
        <w:t xml:space="preserve">- Talleres de reparación de electrodomésticos, ropa, muebles, electrónica</w:t>
      </w:r>
      <w:r>
        <w:t xml:space="preserve"> </w:t>
      </w:r>
      <w:r>
        <w:t xml:space="preserve">- Tiendas de segunda mano con precios sociales</w:t>
      </w:r>
      <w:r>
        <w:t xml:space="preserve"> </w:t>
      </w:r>
      <w:r>
        <w:t xml:space="preserve">- Formación en oficios de reparación (electricidad, costura, carpintería, electrónica)</w:t>
      </w:r>
      <w:r>
        <w:t xml:space="preserve"> </w:t>
      </w:r>
      <w:r>
        <w:t xml:space="preserve">- Cada centro genera 15-25 empleos directos</w:t>
      </w:r>
      <w:r>
        <w:t xml:space="preserve"> </w:t>
      </w:r>
      <w:r>
        <w:t xml:space="preserve">- Meta: 500 centros = 10.000 empleos directos</w:t>
      </w:r>
    </w:p>
    <w:p>
      <w:pPr>
        <w:pStyle w:val="BodyText"/>
      </w:pPr>
      <w:r>
        <w:rPr>
          <w:b/>
        </w:rPr>
        <w:t xml:space="preserve">Componente 3 — Industria de la Economía Circular:</w:t>
      </w:r>
      <w:r>
        <w:t xml:space="preserve"> </w:t>
      </w:r>
      <w:r>
        <w:t xml:space="preserve">- Incentivos fiscales para empresas que usen materiales reciclados</w:t>
      </w:r>
      <w:r>
        <w:t xml:space="preserve"> </w:t>
      </w:r>
      <w:r>
        <w:t xml:space="preserve">- Regulación de</w:t>
      </w:r>
      <w:r>
        <w:t xml:space="preserve"> </w:t>
      </w:r>
      <w:r>
        <w:t xml:space="preserve">“</w:t>
      </w:r>
      <w:r>
        <w:t xml:space="preserve">derecho a reparar</w:t>
      </w:r>
      <w:r>
        <w:t xml:space="preserve">”</w:t>
      </w:r>
      <w:r>
        <w:t xml:space="preserve"> </w:t>
      </w:r>
      <w:r>
        <w:t xml:space="preserve">(los fabricantes deben ofrecer repuestos por 10 años)</w:t>
      </w:r>
      <w:r>
        <w:t xml:space="preserve"> </w:t>
      </w:r>
      <w:r>
        <w:t xml:space="preserve">- Compra pública verde: el Estado prioriza productos circulares</w:t>
      </w:r>
      <w:r>
        <w:t xml:space="preserve"> </w:t>
      </w:r>
      <w:r>
        <w:t xml:space="preserve">- Parques eco-industriales donde el residuo de una empresa es insumo de otra</w:t>
      </w:r>
      <w:r>
        <w:t xml:space="preserve"> </w:t>
      </w:r>
      <w:r>
        <w:t xml:space="preserve">- Meta: 500 empresas circulares nuevas, 40.000 empleos</w:t>
      </w:r>
    </w:p>
    <w:p>
      <w:pPr>
        <w:pStyle w:val="BodyText"/>
      </w:pPr>
      <w:r>
        <w:rPr>
          <w:b/>
        </w:rPr>
        <w:t xml:space="preserve">Componente 4 — Empleos en Energía Renovable:</w:t>
      </w:r>
      <w:r>
        <w:t xml:space="preserve"> </w:t>
      </w:r>
      <w:r>
        <w:t xml:space="preserve">- Formación de 50.000 instaladores solares y técnicos en renovables</w:t>
      </w:r>
      <w:r>
        <w:t xml:space="preserve"> </w:t>
      </w:r>
      <w:r>
        <w:t xml:space="preserve">- Cooperativas de instalación solar en cada provincia</w:t>
      </w:r>
      <w:r>
        <w:t xml:space="preserve"> </w:t>
      </w:r>
      <w:r>
        <w:t xml:space="preserve">- Vinculación con Política 07 (Ambiente)</w:t>
      </w:r>
      <w:r>
        <w:t xml:space="preserve"> </w:t>
      </w:r>
      <w:r>
        <w:t xml:space="preserve">- Meta: 50.000 empleos en renovables</w:t>
      </w:r>
    </w:p>
    <w:p>
      <w:pPr>
        <w:pStyle w:val="Heading3"/>
      </w:pPr>
      <w:bookmarkStart w:id="48" w:name="costeo-3"/>
      <w:r>
        <w:t xml:space="preserve">Costeo</w:t>
      </w:r>
      <w:bookmarkEnd w:id="48"/>
    </w:p>
    <w:tbl>
      <w:tblPr>
        <w:tblStyle w:val="Table"/>
        <w:tblW w:type="pct" w:w="0.0"/>
        <w:tblLook w:firstRow="1"/>
      </w:tblPr>
      <w:tblGrid/>
      <w:tr>
        <w:trPr>
          <w:cnfStyle w:firstRow="1"/>
        </w:trPr>
        <w:tc>
          <w:tcPr>
            <w:tcBorders>
              <w:bottom w:val="single"/>
            </w:tcBorders>
            <w:vAlign w:val="bottom"/>
          </w:tcPr>
          <w:p>
            <w:pPr>
              <w:pStyle w:val="Compact"/>
              <w:jc w:val="left"/>
            </w:pPr>
            <w:r>
              <w:t xml:space="preserve">Concepto</w:t>
            </w:r>
          </w:p>
        </w:tc>
        <w:tc>
          <w:tcPr>
            <w:tcBorders>
              <w:bottom w:val="single"/>
            </w:tcBorders>
            <w:vAlign w:val="bottom"/>
          </w:tcPr>
          <w:p>
            <w:pPr>
              <w:pStyle w:val="Compact"/>
              <w:jc w:val="left"/>
            </w:pPr>
            <w:r>
              <w:t xml:space="preserve">Total (5 años)</w:t>
            </w:r>
          </w:p>
        </w:tc>
      </w:tr>
      <w:tr>
        <w:tc>
          <w:p>
            <w:pPr>
              <w:pStyle w:val="Compact"/>
              <w:jc w:val="left"/>
            </w:pPr>
            <w:r>
              <w:t xml:space="preserve">Formalización de recicladores (150K personas)</w:t>
            </w:r>
          </w:p>
        </w:tc>
        <w:tc>
          <w:p>
            <w:pPr>
              <w:pStyle w:val="Compact"/>
              <w:jc w:val="left"/>
            </w:pPr>
            <w:r>
              <w:t xml:space="preserve">USD 3.000M</w:t>
            </w:r>
          </w:p>
        </w:tc>
      </w:tr>
      <w:tr>
        <w:tc>
          <w:p>
            <w:pPr>
              <w:pStyle w:val="Compact"/>
              <w:jc w:val="left"/>
            </w:pPr>
            <w:r>
              <w:t xml:space="preserve">500 Centros Circulares</w:t>
            </w:r>
          </w:p>
        </w:tc>
        <w:tc>
          <w:p>
            <w:pPr>
              <w:pStyle w:val="Compact"/>
              <w:jc w:val="left"/>
            </w:pPr>
            <w:r>
              <w:t xml:space="preserve">USD 750M</w:t>
            </w:r>
          </w:p>
        </w:tc>
      </w:tr>
      <w:tr>
        <w:tc>
          <w:p>
            <w:pPr>
              <w:pStyle w:val="Compact"/>
              <w:jc w:val="left"/>
            </w:pPr>
            <w:r>
              <w:t xml:space="preserve">Incentivos a industria circular</w:t>
            </w:r>
          </w:p>
        </w:tc>
        <w:tc>
          <w:p>
            <w:pPr>
              <w:pStyle w:val="Compact"/>
              <w:jc w:val="left"/>
            </w:pPr>
            <w:r>
              <w:t xml:space="preserve">USD 500M</w:t>
            </w:r>
          </w:p>
        </w:tc>
      </w:tr>
      <w:tr>
        <w:tc>
          <w:p>
            <w:pPr>
              <w:pStyle w:val="Compact"/>
              <w:jc w:val="left"/>
            </w:pPr>
            <w:r>
              <w:t xml:space="preserve">Formación en renovables (50K personas)</w:t>
            </w:r>
          </w:p>
        </w:tc>
        <w:tc>
          <w:p>
            <w:pPr>
              <w:pStyle w:val="Compact"/>
              <w:jc w:val="left"/>
            </w:pPr>
            <w:r>
              <w:t xml:space="preserve">USD 500M</w:t>
            </w:r>
          </w:p>
        </w:tc>
      </w:tr>
      <w:tr>
        <w:tc>
          <w:p>
            <w:pPr>
              <w:pStyle w:val="Compact"/>
              <w:jc w:val="left"/>
            </w:pPr>
            <w:r>
              <w:rPr>
                <w:b/>
              </w:rPr>
              <w:t xml:space="preserve">Total</w:t>
            </w:r>
          </w:p>
        </w:tc>
        <w:tc>
          <w:p>
            <w:pPr>
              <w:pStyle w:val="Compact"/>
              <w:jc w:val="left"/>
            </w:pPr>
            <w:r>
              <w:rPr>
                <w:b/>
              </w:rPr>
              <w:t xml:space="preserve">USD 4.750M</w:t>
            </w:r>
          </w:p>
        </w:tc>
      </w:tr>
    </w:tbl>
    <w:p>
      <w:pPr>
        <w:pStyle w:val="Heading3"/>
      </w:pPr>
      <w:bookmarkStart w:id="49" w:name="financiamiento-3"/>
      <w:r>
        <w:t xml:space="preserve">Financiamiento</w:t>
      </w:r>
      <w:bookmarkEnd w:id="49"/>
    </w:p>
    <w:tbl>
      <w:tblPr>
        <w:tblStyle w:val="Table"/>
        <w:tblW w:type="pct" w:w="0.0"/>
        <w:tblLook w:firstRow="1"/>
      </w:tblPr>
      <w:tblGrid/>
      <w:tr>
        <w:trPr>
          <w:cnfStyle w:firstRow="1"/>
        </w:trPr>
        <w:tc>
          <w:tcPr>
            <w:tcBorders>
              <w:bottom w:val="single"/>
            </w:tcBorders>
            <w:vAlign w:val="bottom"/>
          </w:tcPr>
          <w:p>
            <w:pPr>
              <w:pStyle w:val="Compact"/>
              <w:jc w:val="left"/>
            </w:pPr>
            <w:r>
              <w:t xml:space="preserve">Fuente</w:t>
            </w:r>
          </w:p>
        </w:tc>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Monto</w:t>
            </w:r>
          </w:p>
        </w:tc>
      </w:tr>
      <w:tr>
        <w:tc>
          <w:p>
            <w:pPr>
              <w:pStyle w:val="Compact"/>
              <w:jc w:val="left"/>
            </w:pPr>
            <w:r>
              <w:t xml:space="preserve">Carbon tax (Política 10)</w:t>
            </w:r>
          </w:p>
        </w:tc>
        <w:tc>
          <w:p>
            <w:pPr>
              <w:pStyle w:val="Compact"/>
              <w:jc w:val="left"/>
            </w:pPr>
            <w:r>
              <w:t xml:space="preserve">30%</w:t>
            </w:r>
          </w:p>
        </w:tc>
        <w:tc>
          <w:p>
            <w:pPr>
              <w:pStyle w:val="Compact"/>
              <w:jc w:val="left"/>
            </w:pPr>
            <w:r>
              <w:t xml:space="preserve">USD 1.425M</w:t>
            </w:r>
          </w:p>
        </w:tc>
      </w:tr>
      <w:tr>
        <w:tc>
          <w:p>
            <w:pPr>
              <w:pStyle w:val="Compact"/>
              <w:jc w:val="left"/>
            </w:pPr>
            <w:r>
              <w:t xml:space="preserve">Presupuesto nacional (ambiente + trabajo)</w:t>
            </w:r>
          </w:p>
        </w:tc>
        <w:tc>
          <w:p>
            <w:pPr>
              <w:pStyle w:val="Compact"/>
              <w:jc w:val="left"/>
            </w:pPr>
            <w:r>
              <w:t xml:space="preserve">25%</w:t>
            </w:r>
          </w:p>
        </w:tc>
        <w:tc>
          <w:p>
            <w:pPr>
              <w:pStyle w:val="Compact"/>
              <w:jc w:val="left"/>
            </w:pPr>
            <w:r>
              <w:t xml:space="preserve">USD 1.187M</w:t>
            </w:r>
          </w:p>
        </w:tc>
      </w:tr>
      <w:tr>
        <w:tc>
          <w:p>
            <w:pPr>
              <w:pStyle w:val="Compact"/>
              <w:jc w:val="left"/>
            </w:pPr>
            <w:r>
              <w:t xml:space="preserve">Green Climate Fund + Bonos Verdes</w:t>
            </w:r>
          </w:p>
        </w:tc>
        <w:tc>
          <w:p>
            <w:pPr>
              <w:pStyle w:val="Compact"/>
              <w:jc w:val="left"/>
            </w:pPr>
            <w:r>
              <w:t xml:space="preserve">25%</w:t>
            </w:r>
          </w:p>
        </w:tc>
        <w:tc>
          <w:p>
            <w:pPr>
              <w:pStyle w:val="Compact"/>
              <w:jc w:val="left"/>
            </w:pPr>
            <w:r>
              <w:t xml:space="preserve">USD 1.187M</w:t>
            </w:r>
          </w:p>
        </w:tc>
      </w:tr>
      <w:tr>
        <w:tc>
          <w:p>
            <w:pPr>
              <w:pStyle w:val="Compact"/>
              <w:jc w:val="left"/>
            </w:pPr>
            <w:r>
              <w:t xml:space="preserve">Tasas a disposición de residuos (GIRSU)</w:t>
            </w:r>
          </w:p>
        </w:tc>
        <w:tc>
          <w:p>
            <w:pPr>
              <w:pStyle w:val="Compact"/>
              <w:jc w:val="left"/>
            </w:pPr>
            <w:r>
              <w:t xml:space="preserve">10%</w:t>
            </w:r>
          </w:p>
        </w:tc>
        <w:tc>
          <w:p>
            <w:pPr>
              <w:pStyle w:val="Compact"/>
              <w:jc w:val="left"/>
            </w:pPr>
            <w:r>
              <w:t xml:space="preserve">USD 475M</w:t>
            </w:r>
          </w:p>
        </w:tc>
      </w:tr>
      <w:tr>
        <w:tc>
          <w:p>
            <w:pPr>
              <w:pStyle w:val="Compact"/>
              <w:jc w:val="left"/>
            </w:pPr>
            <w:r>
              <w:t xml:space="preserve">Sector privado (RSE + incentivos fiscales)</w:t>
            </w:r>
          </w:p>
        </w:tc>
        <w:tc>
          <w:p>
            <w:pPr>
              <w:pStyle w:val="Compact"/>
              <w:jc w:val="left"/>
            </w:pPr>
            <w:r>
              <w:t xml:space="preserve">10%</w:t>
            </w:r>
          </w:p>
        </w:tc>
        <w:tc>
          <w:p>
            <w:pPr>
              <w:pStyle w:val="Compact"/>
              <w:jc w:val="left"/>
            </w:pPr>
            <w:r>
              <w:t xml:space="preserve">USD 475M</w:t>
            </w:r>
          </w:p>
        </w:tc>
      </w:tr>
    </w:tbl>
    <w:p>
      <w:r>
        <w:pict>
          <v:rect style="width:0;height:1.5pt" o:hralign="center" o:hrstd="t" o:hr="t"/>
        </w:pict>
      </w:r>
    </w:p>
    <w:p>
      <w:pPr>
        <w:pStyle w:val="Heading2"/>
      </w:pPr>
      <w:bookmarkStart w:id="50" w:name="X930591dd6cef57846d6de1e69afcdda513f4e15"/>
      <w:r>
        <w:t xml:space="preserve">Política 5: Banca Comunitaria y Microfinanzas con IA —</w:t>
      </w:r>
      <w:r>
        <w:t xml:space="preserve"> </w:t>
      </w:r>
      <w:r>
        <w:t xml:space="preserve">“</w:t>
      </w:r>
      <w:r>
        <w:t xml:space="preserve">Crédito para quien nunca tuvo</w:t>
      </w:r>
      <w:r>
        <w:t xml:space="preserve">”</w:t>
      </w:r>
      <w:bookmarkEnd w:id="50"/>
    </w:p>
    <w:p>
      <w:pPr>
        <w:pStyle w:val="FirstParagraph"/>
      </w:pPr>
      <w:r>
        <w:rPr>
          <w:i/>
        </w:rPr>
        <w:t xml:space="preserve">Inspirada en Grameen Bank (Bangladesh), Bancamía (Colombia), JAK Bank (Suecia), Banco Palmas (Brasil), y las fintech argentinas</w:t>
      </w:r>
    </w:p>
    <w:p>
      <w:pPr>
        <w:pStyle w:val="Heading3"/>
      </w:pPr>
      <w:bookmarkStart w:id="51" w:name="qué-es-4"/>
      <w:r>
        <w:t xml:space="preserve">Qué es</w:t>
      </w:r>
      <w:bookmarkEnd w:id="51"/>
    </w:p>
    <w:p>
      <w:pPr>
        <w:pStyle w:val="FirstParagraph"/>
      </w:pPr>
      <w:r>
        <w:t xml:space="preserve">Un sistema de microfinanzas y banca comunitaria que lleva crédito accesible a las personas y emprendimientos que el sistema bancario tradicional ignora. Combina la cercanía de la banca comunitaria (conocen al vecino) con la eficiencia de la tecnología (IA para scoring alternativo, app para transacciones, blockchain para transparencia).</w:t>
      </w:r>
    </w:p>
    <w:p>
      <w:pPr>
        <w:pStyle w:val="Heading3"/>
      </w:pPr>
      <w:bookmarkStart w:id="52" w:name="por-qué-esta-política-4"/>
      <w:r>
        <w:t xml:space="preserve">Por qué esta política</w:t>
      </w:r>
      <w:bookmarkEnd w:id="52"/>
    </w:p>
    <w:p>
      <w:pPr>
        <w:pStyle w:val="FirstParagraph"/>
      </w:pPr>
      <w:r>
        <w:rPr>
          <w:b/>
        </w:rPr>
        <w:t xml:space="preserve">Grameen Bank</w:t>
      </w:r>
      <w:r>
        <w:t xml:space="preserve"> </w:t>
      </w:r>
      <w:r>
        <w:t xml:space="preserve">en Bangladesh demostró que prestarle a los pobres funciona: 9 millones de prestatarios (97% mujeres), tasa de repago del 98%, Premio Nobel de la Paz. El secreto: grupos solidarios de 5 personas que se apoyan mutuamente.</w:t>
      </w:r>
    </w:p>
    <w:p>
      <w:pPr>
        <w:pStyle w:val="BodyText"/>
      </w:pPr>
      <w:r>
        <w:rPr>
          <w:b/>
        </w:rPr>
        <w:t xml:space="preserve">Banco Palmas</w:t>
      </w:r>
      <w:r>
        <w:t xml:space="preserve"> </w:t>
      </w:r>
      <w:r>
        <w:t xml:space="preserve">en Fortaleza, Brasil, creó una moneda local (Palmas) que circula solo dentro de la comunidad, fortaleciendo la economía barrial. Hoy tiene 100+ sucursales comunitarias.</w:t>
      </w:r>
    </w:p>
    <w:p>
      <w:pPr>
        <w:pStyle w:val="BodyText"/>
      </w:pPr>
      <w:r>
        <w:rPr>
          <w:b/>
        </w:rPr>
        <w:t xml:space="preserve">Bancamía</w:t>
      </w:r>
      <w:r>
        <w:t xml:space="preserve"> </w:t>
      </w:r>
      <w:r>
        <w:t xml:space="preserve">en Colombia atiende a 2 millones de microemprendedores con créditos desde USD 100. Usa tecnología para reducir costos operativos y llegar a zonas rurales.</w:t>
      </w:r>
    </w:p>
    <w:p>
      <w:pPr>
        <w:pStyle w:val="BodyText"/>
      </w:pPr>
      <w:r>
        <w:t xml:space="preserve">En Argentina,</w:t>
      </w:r>
      <w:r>
        <w:t xml:space="preserve"> </w:t>
      </w:r>
      <w:r>
        <w:rPr>
          <w:b/>
        </w:rPr>
        <w:t xml:space="preserve">el 50% de la población adulta no tiene cuenta bancaria activa</w:t>
      </w:r>
      <w:r>
        <w:t xml:space="preserve">. Las personas de barrios populares no acceden a crédito formal — terminan con prestamistas informales que cobran 300% de interés. Al mismo tiempo, Argentina tiene un ecosistema fintech vibrante (Ualá, MercadoLibre, NaranjaX) con tecnología que puede democratizar el acceso.</w:t>
      </w:r>
    </w:p>
    <w:p>
      <w:pPr>
        <w:pStyle w:val="Heading3"/>
      </w:pPr>
      <w:bookmarkStart w:id="53" w:name="diseño-para-argentina-4"/>
      <w:r>
        <w:t xml:space="preserve">Diseño para Argentina</w:t>
      </w:r>
      <w:bookmarkEnd w:id="53"/>
    </w:p>
    <w:p>
      <w:pPr>
        <w:pStyle w:val="FirstParagraph"/>
      </w:pPr>
      <w:r>
        <w:rPr>
          <w:b/>
        </w:rPr>
        <w:t xml:space="preserve">Componente 1 — Red de Bancos Comunitarios:</w:t>
      </w:r>
      <w:r>
        <w:t xml:space="preserve"> </w:t>
      </w:r>
      <w:r>
        <w:t xml:space="preserve">- 500 Bancos Comunitarios en barrios populares, pueblos rurales, comunidades indígenas</w:t>
      </w:r>
      <w:r>
        <w:t xml:space="preserve"> </w:t>
      </w:r>
      <w:r>
        <w:t xml:space="preserve">- Gestionados por cooperativas locales con asistencia técnica del Estado</w:t>
      </w:r>
      <w:r>
        <w:t xml:space="preserve"> </w:t>
      </w:r>
      <w:r>
        <w:t xml:space="preserve">- Créditos desde USD 50 hasta USD 5.000</w:t>
      </w:r>
      <w:r>
        <w:t xml:space="preserve"> </w:t>
      </w:r>
      <w:r>
        <w:t xml:space="preserve">- Grupos solidarios (modelo Grameen) para garantía mutua</w:t>
      </w:r>
      <w:r>
        <w:t xml:space="preserve"> </w:t>
      </w:r>
      <w:r>
        <w:t xml:space="preserve">- Tasas subsidiadas: 50% de la tasa de mercado</w:t>
      </w:r>
      <w:r>
        <w:t xml:space="preserve"> </w:t>
      </w:r>
      <w:r>
        <w:t xml:space="preserve">- Meta: 1 millón de microcréditos en 5 años</w:t>
      </w:r>
    </w:p>
    <w:p>
      <w:pPr>
        <w:pStyle w:val="BodyText"/>
      </w:pPr>
      <w:r>
        <w:rPr>
          <w:b/>
        </w:rPr>
        <w:t xml:space="preserve">Componente 2 — Scoring Alternativo con IA:</w:t>
      </w:r>
      <w:r>
        <w:t xml:space="preserve"> </w:t>
      </w:r>
      <w:r>
        <w:t xml:space="preserve">- Sistema de evaluación crediticia que no usa historial bancario (que los pobres no tienen)</w:t>
      </w:r>
      <w:r>
        <w:t xml:space="preserve"> </w:t>
      </w:r>
      <w:r>
        <w:t xml:space="preserve">- Usa: historial de pagos de servicios, actividad en cooperativas, referencias comunitarias</w:t>
      </w:r>
      <w:r>
        <w:t xml:space="preserve"> </w:t>
      </w:r>
      <w:r>
        <w:t xml:space="preserve">- Desarrollado como bien público (código abierto)</w:t>
      </w:r>
      <w:r>
        <w:t xml:space="preserve"> </w:t>
      </w:r>
      <w:r>
        <w:t xml:space="preserve">- Meta: incluir a 3 millones de personas hoy excluidas del crédito</w:t>
      </w:r>
    </w:p>
    <w:p>
      <w:pPr>
        <w:pStyle w:val="BodyText"/>
      </w:pPr>
      <w:r>
        <w:rPr>
          <w:b/>
        </w:rPr>
        <w:t xml:space="preserve">Componente 3 — Monedas Comunitarias Digitales:</w:t>
      </w:r>
      <w:r>
        <w:t xml:space="preserve"> </w:t>
      </w:r>
      <w:r>
        <w:t xml:space="preserve">- Creación de monedas locales digitales (modelo Banco Palmas) para fortalecer economías barriales</w:t>
      </w:r>
      <w:r>
        <w:t xml:space="preserve"> </w:t>
      </w:r>
      <w:r>
        <w:t xml:space="preserve">- 50 comunidades piloto con moneda local vinculada al peso</w:t>
      </w:r>
      <w:r>
        <w:t xml:space="preserve"> </w:t>
      </w:r>
      <w:r>
        <w:t xml:space="preserve">- Incentivo: 10% de bonificación al usar moneda local en comercios del barrio</w:t>
      </w:r>
      <w:r>
        <w:t xml:space="preserve"> </w:t>
      </w:r>
      <w:r>
        <w:t xml:space="preserve">- Meta: 50 monedas comunitarias activas</w:t>
      </w:r>
    </w:p>
    <w:p>
      <w:pPr>
        <w:pStyle w:val="Heading3"/>
      </w:pPr>
      <w:bookmarkStart w:id="54" w:name="costeo-4"/>
      <w:r>
        <w:t xml:space="preserve">Costeo</w:t>
      </w:r>
      <w:bookmarkEnd w:id="54"/>
    </w:p>
    <w:tbl>
      <w:tblPr>
        <w:tblStyle w:val="Table"/>
        <w:tblW w:type="pct" w:w="0.0"/>
        <w:tblLook w:firstRow="1"/>
      </w:tblPr>
      <w:tblGrid/>
      <w:tr>
        <w:trPr>
          <w:cnfStyle w:firstRow="1"/>
        </w:trPr>
        <w:tc>
          <w:tcPr>
            <w:tcBorders>
              <w:bottom w:val="single"/>
            </w:tcBorders>
            <w:vAlign w:val="bottom"/>
          </w:tcPr>
          <w:p>
            <w:pPr>
              <w:pStyle w:val="Compact"/>
              <w:jc w:val="left"/>
            </w:pPr>
            <w:r>
              <w:t xml:space="preserve">Concepto</w:t>
            </w:r>
          </w:p>
        </w:tc>
        <w:tc>
          <w:tcPr>
            <w:tcBorders>
              <w:bottom w:val="single"/>
            </w:tcBorders>
            <w:vAlign w:val="bottom"/>
          </w:tcPr>
          <w:p>
            <w:pPr>
              <w:pStyle w:val="Compact"/>
              <w:jc w:val="left"/>
            </w:pPr>
            <w:r>
              <w:t xml:space="preserve">Total (5 años)</w:t>
            </w:r>
          </w:p>
        </w:tc>
      </w:tr>
      <w:tr>
        <w:tc>
          <w:p>
            <w:pPr>
              <w:pStyle w:val="Compact"/>
              <w:jc w:val="left"/>
            </w:pPr>
            <w:r>
              <w:t xml:space="preserve">Capital semilla para 500 Bancos Comunitarios</w:t>
            </w:r>
          </w:p>
        </w:tc>
        <w:tc>
          <w:p>
            <w:pPr>
              <w:pStyle w:val="Compact"/>
              <w:jc w:val="left"/>
            </w:pPr>
            <w:r>
              <w:t xml:space="preserve">USD 250M</w:t>
            </w:r>
          </w:p>
        </w:tc>
      </w:tr>
      <w:tr>
        <w:tc>
          <w:p>
            <w:pPr>
              <w:pStyle w:val="Compact"/>
              <w:jc w:val="left"/>
            </w:pPr>
            <w:r>
              <w:t xml:space="preserve">Subsidio de tasas de interés</w:t>
            </w:r>
          </w:p>
        </w:tc>
        <w:tc>
          <w:p>
            <w:pPr>
              <w:pStyle w:val="Compact"/>
              <w:jc w:val="left"/>
            </w:pPr>
            <w:r>
              <w:t xml:space="preserve">USD 400M</w:t>
            </w:r>
          </w:p>
        </w:tc>
      </w:tr>
      <w:tr>
        <w:tc>
          <w:p>
            <w:pPr>
              <w:pStyle w:val="Compact"/>
              <w:jc w:val="left"/>
            </w:pPr>
            <w:r>
              <w:t xml:space="preserve">Desarrollo tecnológico (IA scoring + plataforma + monedas)</w:t>
            </w:r>
          </w:p>
        </w:tc>
        <w:tc>
          <w:p>
            <w:pPr>
              <w:pStyle w:val="Compact"/>
              <w:jc w:val="left"/>
            </w:pPr>
            <w:r>
              <w:t xml:space="preserve">USD 50M</w:t>
            </w:r>
          </w:p>
        </w:tc>
      </w:tr>
      <w:tr>
        <w:tc>
          <w:p>
            <w:pPr>
              <w:pStyle w:val="Compact"/>
              <w:jc w:val="left"/>
            </w:pPr>
            <w:r>
              <w:t xml:space="preserve">Formación de gestores comunitarios (2.500 personas)</w:t>
            </w:r>
          </w:p>
        </w:tc>
        <w:tc>
          <w:p>
            <w:pPr>
              <w:pStyle w:val="Compact"/>
              <w:jc w:val="left"/>
            </w:pPr>
            <w:r>
              <w:t xml:space="preserve">USD 25M</w:t>
            </w:r>
          </w:p>
        </w:tc>
      </w:tr>
      <w:tr>
        <w:tc>
          <w:p>
            <w:pPr>
              <w:pStyle w:val="Compact"/>
              <w:jc w:val="left"/>
            </w:pPr>
            <w:r>
              <w:t xml:space="preserve">Fondo de garantía para microcréditos</w:t>
            </w:r>
          </w:p>
        </w:tc>
        <w:tc>
          <w:p>
            <w:pPr>
              <w:pStyle w:val="Compact"/>
              <w:jc w:val="left"/>
            </w:pPr>
            <w:r>
              <w:t xml:space="preserve">USD 200M</w:t>
            </w:r>
          </w:p>
        </w:tc>
      </w:tr>
      <w:tr>
        <w:tc>
          <w:p>
            <w:pPr>
              <w:pStyle w:val="Compact"/>
              <w:jc w:val="left"/>
            </w:pPr>
            <w:r>
              <w:rPr>
                <w:b/>
              </w:rPr>
              <w:t xml:space="preserve">Total</w:t>
            </w:r>
          </w:p>
        </w:tc>
        <w:tc>
          <w:p>
            <w:pPr>
              <w:pStyle w:val="Compact"/>
              <w:jc w:val="left"/>
            </w:pPr>
            <w:r>
              <w:rPr>
                <w:b/>
              </w:rPr>
              <w:t xml:space="preserve">USD 925M</w:t>
            </w:r>
          </w:p>
        </w:tc>
      </w:tr>
    </w:tbl>
    <w:p>
      <w:pPr>
        <w:pStyle w:val="Heading3"/>
      </w:pPr>
      <w:bookmarkStart w:id="55" w:name="financiamiento-4"/>
      <w:r>
        <w:t xml:space="preserve">Financiamiento</w:t>
      </w:r>
      <w:bookmarkEnd w:id="55"/>
    </w:p>
    <w:tbl>
      <w:tblPr>
        <w:tblStyle w:val="Table"/>
        <w:tblW w:type="pct" w:w="0.0"/>
        <w:tblLook w:firstRow="1"/>
      </w:tblPr>
      <w:tblGrid/>
      <w:tr>
        <w:trPr>
          <w:cnfStyle w:firstRow="1"/>
        </w:trPr>
        <w:tc>
          <w:tcPr>
            <w:tcBorders>
              <w:bottom w:val="single"/>
            </w:tcBorders>
            <w:vAlign w:val="bottom"/>
          </w:tcPr>
          <w:p>
            <w:pPr>
              <w:pStyle w:val="Compact"/>
              <w:jc w:val="left"/>
            </w:pPr>
            <w:r>
              <w:t xml:space="preserve">Fuente</w:t>
            </w:r>
          </w:p>
        </w:tc>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Monto</w:t>
            </w:r>
          </w:p>
        </w:tc>
      </w:tr>
      <w:tr>
        <w:tc>
          <w:p>
            <w:pPr>
              <w:pStyle w:val="Compact"/>
              <w:jc w:val="left"/>
            </w:pPr>
            <w:r>
              <w:t xml:space="preserve">Banco Central (redescuentos + regulación)</w:t>
            </w:r>
          </w:p>
        </w:tc>
        <w:tc>
          <w:p>
            <w:pPr>
              <w:pStyle w:val="Compact"/>
              <w:jc w:val="left"/>
            </w:pPr>
            <w:r>
              <w:t xml:space="preserve">35%</w:t>
            </w:r>
          </w:p>
        </w:tc>
        <w:tc>
          <w:p>
            <w:pPr>
              <w:pStyle w:val="Compact"/>
              <w:jc w:val="left"/>
            </w:pPr>
            <w:r>
              <w:t xml:space="preserve">USD 324M</w:t>
            </w:r>
          </w:p>
        </w:tc>
      </w:tr>
      <w:tr>
        <w:tc>
          <w:p>
            <w:pPr>
              <w:pStyle w:val="Compact"/>
              <w:jc w:val="left"/>
            </w:pPr>
            <w:r>
              <w:t xml:space="preserve">BID / CAF / Banco Mundial (microfinanzas)</w:t>
            </w:r>
          </w:p>
        </w:tc>
        <w:tc>
          <w:p>
            <w:pPr>
              <w:pStyle w:val="Compact"/>
              <w:jc w:val="left"/>
            </w:pPr>
            <w:r>
              <w:t xml:space="preserve">30%</w:t>
            </w:r>
          </w:p>
        </w:tc>
        <w:tc>
          <w:p>
            <w:pPr>
              <w:pStyle w:val="Compact"/>
              <w:jc w:val="left"/>
            </w:pPr>
            <w:r>
              <w:t xml:space="preserve">USD 278M</w:t>
            </w:r>
          </w:p>
        </w:tc>
      </w:tr>
      <w:tr>
        <w:tc>
          <w:p>
            <w:pPr>
              <w:pStyle w:val="Compact"/>
              <w:jc w:val="left"/>
            </w:pPr>
            <w:r>
              <w:t xml:space="preserve">Fintech argentinas (alianzas público-privadas)</w:t>
            </w:r>
          </w:p>
        </w:tc>
        <w:tc>
          <w:p>
            <w:pPr>
              <w:pStyle w:val="Compact"/>
              <w:jc w:val="left"/>
            </w:pPr>
            <w:r>
              <w:t xml:space="preserve">20%</w:t>
            </w:r>
          </w:p>
        </w:tc>
        <w:tc>
          <w:p>
            <w:pPr>
              <w:pStyle w:val="Compact"/>
              <w:jc w:val="left"/>
            </w:pPr>
            <w:r>
              <w:t xml:space="preserve">USD 185M</w:t>
            </w:r>
          </w:p>
        </w:tc>
      </w:tr>
      <w:tr>
        <w:tc>
          <w:p>
            <w:pPr>
              <w:pStyle w:val="Compact"/>
              <w:jc w:val="left"/>
            </w:pPr>
            <w:r>
              <w:t xml:space="preserve">Presupuesto nacional</w:t>
            </w:r>
          </w:p>
        </w:tc>
        <w:tc>
          <w:p>
            <w:pPr>
              <w:pStyle w:val="Compact"/>
              <w:jc w:val="left"/>
            </w:pPr>
            <w:r>
              <w:t xml:space="preserve">15%</w:t>
            </w:r>
          </w:p>
        </w:tc>
        <w:tc>
          <w:p>
            <w:pPr>
              <w:pStyle w:val="Compact"/>
              <w:jc w:val="left"/>
            </w:pPr>
            <w:r>
              <w:t xml:space="preserve">USD 139M</w:t>
            </w:r>
          </w:p>
        </w:tc>
      </w:tr>
    </w:tbl>
    <w:p>
      <w:r>
        <w:pict>
          <v:rect style="width:0;height:1.5pt" o:hralign="center" o:hrstd="t" o:hr="t"/>
        </w:pict>
      </w:r>
    </w:p>
    <w:p>
      <w:pPr>
        <w:pStyle w:val="Heading2"/>
      </w:pPr>
      <w:bookmarkStart w:id="56" w:name="resumen-trabajo-producción-y-economía"/>
      <w:r>
        <w:t xml:space="preserve">Resumen: Trabajo, Producción y Economía</w:t>
      </w:r>
      <w:bookmarkEnd w:id="56"/>
    </w:p>
    <w:tbl>
      <w:tblPr>
        <w:tblStyle w:val="Table"/>
        <w:tblW w:type="pct" w:w="4999.999999999999"/>
        <w:tblLook w:firstRow="1"/>
      </w:tblPr>
      <w:tblGrid>
        <w:gridCol w:w="977"/>
        <w:gridCol w:w="1857"/>
        <w:gridCol w:w="2151"/>
        <w:gridCol w:w="2933"/>
      </w:tblGrid>
      <w:tr>
        <w:trPr>
          <w:cnfStyle w:firstRow="1"/>
        </w:trPr>
        <w:tc>
          <w:tcPr>
            <w:tcBorders>
              <w:bottom w:val="single"/>
            </w:tcBorders>
            <w:vAlign w:val="bottom"/>
          </w:tcPr>
          <w:p>
            <w:pPr>
              <w:pStyle w:val="Compact"/>
              <w:jc w:val="left"/>
            </w:pPr>
            <w:r>
              <w:t xml:space="preserve">Política</w:t>
            </w:r>
          </w:p>
        </w:tc>
        <w:tc>
          <w:tcPr>
            <w:tcBorders>
              <w:bottom w:val="single"/>
            </w:tcBorders>
            <w:vAlign w:val="bottom"/>
          </w:tcPr>
          <w:p>
            <w:pPr>
              <w:pStyle w:val="Compact"/>
              <w:jc w:val="left"/>
            </w:pPr>
            <w:r>
              <w:t xml:space="preserve">Inversión 5 años</w:t>
            </w:r>
          </w:p>
        </w:tc>
        <w:tc>
          <w:tcPr>
            <w:tcBorders>
              <w:bottom w:val="single"/>
            </w:tcBorders>
            <w:vAlign w:val="bottom"/>
          </w:tcPr>
          <w:p>
            <w:pPr>
              <w:pStyle w:val="Compact"/>
              <w:jc w:val="left"/>
            </w:pPr>
            <w:r>
              <w:t xml:space="preserve">Beneficiarios directos</w:t>
            </w:r>
          </w:p>
        </w:tc>
        <w:tc>
          <w:tcPr>
            <w:tcBorders>
              <w:bottom w:val="single"/>
            </w:tcBorders>
            <w:vAlign w:val="bottom"/>
          </w:tcPr>
          <w:p>
            <w:pPr>
              <w:pStyle w:val="Compact"/>
              <w:jc w:val="left"/>
            </w:pPr>
            <w:r>
              <w:t xml:space="preserve">Empleos creados/formalizados</w:t>
            </w:r>
          </w:p>
        </w:tc>
      </w:tr>
      <w:tr>
        <w:tc>
          <w:p>
            <w:pPr>
              <w:pStyle w:val="Compact"/>
              <w:jc w:val="left"/>
            </w:pPr>
            <w:r>
              <w:t xml:space="preserve">1. Garantía de Empleo Comunitario</w:t>
            </w:r>
          </w:p>
        </w:tc>
        <w:tc>
          <w:p>
            <w:pPr>
              <w:pStyle w:val="Compact"/>
              <w:jc w:val="left"/>
            </w:pPr>
            <w:r>
              <w:t xml:space="preserve">USD 14.000M</w:t>
            </w:r>
          </w:p>
        </w:tc>
        <w:tc>
          <w:p>
            <w:pPr>
              <w:pStyle w:val="Compact"/>
              <w:jc w:val="left"/>
            </w:pPr>
            <w:r>
              <w:t xml:space="preserve">500.000 personas</w:t>
            </w:r>
          </w:p>
        </w:tc>
        <w:tc>
          <w:p>
            <w:pPr>
              <w:pStyle w:val="Compact"/>
              <w:jc w:val="left"/>
            </w:pPr>
            <w:r>
              <w:t xml:space="preserve">500.000</w:t>
            </w:r>
          </w:p>
        </w:tc>
      </w:tr>
      <w:tr>
        <w:tc>
          <w:p>
            <w:pPr>
              <w:pStyle w:val="Compact"/>
              <w:jc w:val="left"/>
            </w:pPr>
            <w:r>
              <w:t xml:space="preserve">2. Cooperativas de Plataforma</w:t>
            </w:r>
          </w:p>
        </w:tc>
        <w:tc>
          <w:p>
            <w:pPr>
              <w:pStyle w:val="Compact"/>
              <w:jc w:val="left"/>
            </w:pPr>
            <w:r>
              <w:t xml:space="preserve">USD 200M</w:t>
            </w:r>
          </w:p>
        </w:tc>
        <w:tc>
          <w:p>
            <w:pPr>
              <w:pStyle w:val="Compact"/>
              <w:jc w:val="left"/>
            </w:pPr>
            <w:r>
              <w:t xml:space="preserve">30.000 socios</w:t>
            </w:r>
          </w:p>
        </w:tc>
        <w:tc>
          <w:p>
            <w:pPr>
              <w:pStyle w:val="Compact"/>
              <w:jc w:val="left"/>
            </w:pPr>
            <w:r>
              <w:t xml:space="preserve">30.000</w:t>
            </w:r>
          </w:p>
        </w:tc>
      </w:tr>
      <w:tr>
        <w:tc>
          <w:p>
            <w:pPr>
              <w:pStyle w:val="Compact"/>
              <w:jc w:val="left"/>
            </w:pPr>
            <w:r>
              <w:t xml:space="preserve">3. Formación para la Era IA</w:t>
            </w:r>
          </w:p>
        </w:tc>
        <w:tc>
          <w:p>
            <w:pPr>
              <w:pStyle w:val="Compact"/>
              <w:jc w:val="left"/>
            </w:pPr>
            <w:r>
              <w:t xml:space="preserve">USD 9.400M</w:t>
            </w:r>
          </w:p>
        </w:tc>
        <w:tc>
          <w:p>
            <w:pPr>
              <w:pStyle w:val="Compact"/>
              <w:jc w:val="left"/>
            </w:pPr>
            <w:r>
              <w:t xml:space="preserve">5 millones capacitados</w:t>
            </w:r>
          </w:p>
        </w:tc>
        <w:tc>
          <w:p>
            <w:pPr>
              <w:pStyle w:val="Compact"/>
              <w:jc w:val="left"/>
            </w:pPr>
            <w:r>
              <w:t xml:space="preserve">— (mejora empleabilidad)</w:t>
            </w:r>
          </w:p>
        </w:tc>
      </w:tr>
      <w:tr>
        <w:tc>
          <w:p>
            <w:pPr>
              <w:pStyle w:val="Compact"/>
              <w:jc w:val="left"/>
            </w:pPr>
            <w:r>
              <w:t xml:space="preserve">4. Economía Circular y Empleos Verdes</w:t>
            </w:r>
          </w:p>
        </w:tc>
        <w:tc>
          <w:p>
            <w:pPr>
              <w:pStyle w:val="Compact"/>
              <w:jc w:val="left"/>
            </w:pPr>
            <w:r>
              <w:t xml:space="preserve">USD 4.750M</w:t>
            </w:r>
          </w:p>
        </w:tc>
        <w:tc>
          <w:p>
            <w:pPr>
              <w:pStyle w:val="Compact"/>
              <w:jc w:val="left"/>
            </w:pPr>
            <w:r>
              <w:t xml:space="preserve">250.000 trabajadores</w:t>
            </w:r>
          </w:p>
        </w:tc>
        <w:tc>
          <w:p>
            <w:pPr>
              <w:pStyle w:val="Compact"/>
              <w:jc w:val="left"/>
            </w:pPr>
            <w:r>
              <w:t xml:space="preserve">250.000</w:t>
            </w:r>
          </w:p>
        </w:tc>
      </w:tr>
      <w:tr>
        <w:tc>
          <w:p>
            <w:pPr>
              <w:pStyle w:val="Compact"/>
              <w:jc w:val="left"/>
            </w:pPr>
            <w:r>
              <w:t xml:space="preserve">5. Banca Comunitaria</w:t>
            </w:r>
          </w:p>
        </w:tc>
        <w:tc>
          <w:p>
            <w:pPr>
              <w:pStyle w:val="Compact"/>
              <w:jc w:val="left"/>
            </w:pPr>
            <w:r>
              <w:t xml:space="preserve">USD 925M</w:t>
            </w:r>
          </w:p>
        </w:tc>
        <w:tc>
          <w:p>
            <w:pPr>
              <w:pStyle w:val="Compact"/>
              <w:jc w:val="left"/>
            </w:pPr>
            <w:r>
              <w:t xml:space="preserve">1 millón microcréditos</w:t>
            </w:r>
          </w:p>
        </w:tc>
        <w:tc>
          <w:p>
            <w:pPr>
              <w:pStyle w:val="Compact"/>
              <w:jc w:val="left"/>
            </w:pPr>
            <w:r>
              <w:t xml:space="preserve">200.000 emprendimientos</w:t>
            </w:r>
          </w:p>
        </w:tc>
      </w:tr>
      <w:tr>
        <w:tc>
          <w:p>
            <w:pPr>
              <w:pStyle w:val="Compact"/>
              <w:jc w:val="left"/>
            </w:pPr>
            <w:r>
              <w:rPr>
                <w:b/>
              </w:rPr>
              <w:t xml:space="preserve">Total</w:t>
            </w:r>
          </w:p>
        </w:tc>
        <w:tc>
          <w:p>
            <w:pPr>
              <w:pStyle w:val="Compact"/>
              <w:jc w:val="left"/>
            </w:pPr>
            <w:r>
              <w:rPr>
                <w:b/>
              </w:rPr>
              <w:t xml:space="preserve">USD 29.275M</w:t>
            </w:r>
          </w:p>
        </w:tc>
        <w:tc>
          <w:p/>
        </w:tc>
        <w:tc>
          <w:p>
            <w:pPr>
              <w:pStyle w:val="Compact"/>
              <w:jc w:val="left"/>
            </w:pPr>
            <w:r>
              <w:rPr>
                <w:b/>
              </w:rPr>
              <w:t xml:space="preserve">~980.000 empleos</w:t>
            </w:r>
          </w:p>
        </w:tc>
      </w:tr>
    </w:tbl>
    <w:p>
      <w:pPr>
        <w:pStyle w:val="BodyText"/>
      </w:pPr>
      <w:r>
        <w:rPr>
          <w:b/>
        </w:rPr>
        <w:t xml:space="preserve">Inversión total: USD 29.275 millones en 5 años</w:t>
      </w:r>
      <w:r>
        <w:t xml:space="preserve"> </w:t>
      </w:r>
      <w:r>
        <w:t xml:space="preserve">(0,9% del PBI anual). Creación o formalización de casi 1 millón de empleos. Capacitación de 5 millones de trabajadores. Inclusión financiera de 3 millones de personas.</w:t>
      </w:r>
    </w:p>
    <w:p>
      <w:pPr>
        <w:pStyle w:val="BodyText"/>
      </w:pPr>
      <w:r>
        <w:rPr>
          <w:b/>
        </w:rPr>
        <w:t xml:space="preserve">Metas 2031:</w:t>
      </w:r>
      <w:r>
        <w:t xml:space="preserve"> </w:t>
      </w:r>
      <w:r>
        <w:t xml:space="preserve">- Desempleo: de 6,6% a 4,5%</w:t>
      </w:r>
      <w:r>
        <w:t xml:space="preserve"> </w:t>
      </w:r>
      <w:r>
        <w:t xml:space="preserve">- Informalidad: de 43,3% a 30%</w:t>
      </w:r>
      <w:r>
        <w:t xml:space="preserve"> </w:t>
      </w:r>
      <w:r>
        <w:t xml:space="preserve">- Pobreza: de 31,6% a menos de 20%</w:t>
      </w:r>
      <w:r>
        <w:t xml:space="preserve"> </w:t>
      </w:r>
      <w:r>
        <w:t xml:space="preserve">- Cooperativas: de 19.076 a 21.000+</w:t>
      </w:r>
      <w:r>
        <w:t xml:space="preserve"> </w:t>
      </w:r>
      <w:r>
        <w:t xml:space="preserve">- Recicladores formalizados: 150.000</w:t>
      </w:r>
    </w:p>
    <w:p>
      <w:r>
        <w:pict>
          <v:rect style="width:0;height:1.5pt" o:hralign="center" o:hrstd="t" o:hr="t"/>
        </w:pict>
      </w:r>
    </w:p>
    <w:p>
      <w:pPr>
        <w:pStyle w:val="FirstParagraph"/>
      </w:pPr>
      <w:r>
        <w:rPr>
          <w:i/>
        </w:rPr>
        <w:t xml:space="preserve">El trabajo no es solo un ingreso — es identidad, comunidad, dignidad. Estas políticas no prometen que todo el mundo va a ser rico. Prometen que nadie va a estar solo frente a un mercado que no lo necesita.</w:t>
      </w:r>
    </w:p>
    <w:p>
      <w:r>
        <w:pict>
          <v:rect style="width:0;height:1.5pt" o:hralign="center" o:hrstd="t" o:hr="t"/>
        </w:pict>
      </w:r>
    </w:p>
    <w:p>
      <w:pPr>
        <w:pStyle w:val="FirstParagraph"/>
      </w:pPr>
      <w:r>
        <w:rPr>
          <w:i/>
        </w:rPr>
        <w:t xml:space="preserve">Documento creado: Febrero 2026</w:t>
      </w:r>
      <w:r>
        <w:t xml:space="preserve"> </w:t>
      </w:r>
      <w:r>
        <w:rPr>
          <w:i/>
        </w:rPr>
        <w:t xml:space="preserve">Proyecto Argentina Próspera 2027-2031</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2026-02-28T18:17:34Z</dcterms:created>
  <dcterms:modified xsi:type="dcterms:W3CDTF">2026-02-28T18:17:34Z</dcterms:modified>
</cp:coreProperties>
</file>

<file path=docProps/custom.xml><?xml version="1.0" encoding="utf-8"?>
<Properties xmlns="http://schemas.openxmlformats.org/officeDocument/2006/custom-properties" xmlns:vt="http://schemas.openxmlformats.org/officeDocument/2006/docPropsVTypes"/>
</file>