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mbiente-y-adaptación-climática"/>
      <w:r>
        <w:t xml:space="preserve">Ambiente y Adaptación Climática</w:t>
      </w:r>
      <w:bookmarkEnd w:id="20"/>
    </w:p>
    <w:p>
      <w:pPr>
        <w:pStyle w:val="Heading2"/>
      </w:pPr>
      <w:bookmarkStart w:id="21" w:name="X46d3b306b74662c01534b8b7e0dd91c91ca4eed"/>
      <w:r>
        <w:t xml:space="preserve">Argentina Próspera 2027-2031 — Documento Sectorial 07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a374eafd14349608f9ab0cdd8bd46819bdd93b1"/>
      <w:r>
        <w:t xml:space="preserve">La Situación Hoy: un país que se quema, se seca y se inunda</w:t>
      </w:r>
      <w:bookmarkEnd w:id="22"/>
    </w:p>
    <w:p>
      <w:pPr>
        <w:pStyle w:val="FirstParagraph"/>
      </w:pPr>
      <w:r>
        <w:t xml:space="preserve">Argentina emite 401 millones de toneladas de CO₂ equivalente por año — el 0,8% de las emisiones globales. No es un gran emisor en términos absolutos, pero per cápita está por encima del promedio mundial. La mitad de esas emisiones viene del sector energético (82,6% de la matriz sigue siendo fósil) y la otra mitad de la agricultura, la deforestación y los cambios de uso de suelo.</w:t>
      </w:r>
    </w:p>
    <w:p>
      <w:pPr>
        <w:pStyle w:val="BodyText"/>
      </w:pPr>
      <w:r>
        <w:t xml:space="preserve">Pero el problema de Argentina con el clima no es solo lo que emite — es lo que recibe. El país está siendo golpeado por los dos extremos:</w:t>
      </w:r>
      <w:r>
        <w:t xml:space="preserve"> </w:t>
      </w:r>
      <w:r>
        <w:rPr>
          <w:b/>
        </w:rPr>
        <w:t xml:space="preserve">sequías históricas e inundaciones devastadoras</w:t>
      </w:r>
      <w:r>
        <w:t xml:space="preserve">, a veces en el mismo año, a veces en la misma provincia.</w:t>
      </w:r>
    </w:p>
    <w:p>
      <w:pPr>
        <w:pStyle w:val="Heading3"/>
      </w:pPr>
      <w:bookmarkStart w:id="23" w:name="los-números-que-duelen"/>
      <w:r>
        <w:t xml:space="preserve">Los números que duelen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Deforestación 2025:</w:t>
      </w:r>
      <w:r>
        <w:t xml:space="preserve"> </w:t>
      </w:r>
      <w:r>
        <w:t xml:space="preserve">210.702 hectáreas — un aumento del 40% respecto a 2024. El 76% ocurrió en zonas donde la ley prohíbe desmontar.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Sequías:</w:t>
      </w:r>
      <w:r>
        <w:t xml:space="preserve"> </w:t>
      </w:r>
      <w:r>
        <w:t xml:space="preserve">Crisis hídrica de 12 años. Pérdidas agrícolas superiores a USD 1.000 millones anuales. La sequía de 2022-2023 costó USD 20.000 millones.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Incendios:</w:t>
      </w:r>
      <w:r>
        <w:t xml:space="preserve"> </w:t>
      </w:r>
      <w:r>
        <w:t xml:space="preserve">31.722 hectáreas quemadas solo en Patagonia — los peores incendios en 30 años. 3.625 focos en 2025.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Río Paraná:</w:t>
      </w:r>
      <w:r>
        <w:t xml:space="preserve"> </w:t>
      </w:r>
      <w:r>
        <w:t xml:space="preserve">Niveles históricamente bajos, afectando navegación, generación eléctrica, provisión de agua y pesca para millones de personas.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Matriz energética:</w:t>
      </w:r>
      <w:r>
        <w:t xml:space="preserve"> </w:t>
      </w:r>
      <w:r>
        <w:t xml:space="preserve">82,6% fósiles, solo 18,9% renovables. La meta de 20% para fin de 2025 apenas se alcanzó.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Litio:</w:t>
      </w:r>
      <w:r>
        <w:t xml:space="preserve"> </w:t>
      </w:r>
      <w:r>
        <w:t xml:space="preserve">Producción de 74.600 toneladas en 2024 (+62%), pero con impacto hídrico severo en comunidades indígenas del NOA. Victorias judiciales de comunidades en 2024-2025.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Riachuelo:</w:t>
      </w:r>
      <w:r>
        <w:t xml:space="preserve"> </w:t>
      </w:r>
      <w:r>
        <w:t xml:space="preserve">434 empresas contaminantes identificadas. Millones de personas expuestas a agua contaminada en el conurbano.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Agroquímicos:</w:t>
      </w:r>
      <w:r>
        <w:t xml:space="preserve"> </w:t>
      </w:r>
      <w:r>
        <w:t xml:space="preserve">Exposición masiva en zonas rurales con impacto en salud (cáncer, malformaciones) sin regulación efectiva.</w:t>
      </w:r>
    </w:p>
    <w:p>
      <w:pPr>
        <w:pStyle w:val="FirstParagraph"/>
      </w:pPr>
      <w:r>
        <w:t xml:space="preserve">Las personas más afectadas son siempre las más vulnerables: pequeños agricultores que pierden cosechas, comunidades ribereñas que dependen del río, habitantes de barrios populares en zonas inundables, pueblos originarios cuyos territorios se desmontan o se contaminan con litio.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a90cf9a10fb42240d2c68eef70e4bfd2fc303cc"/>
      <w:r>
        <w:t xml:space="preserve">Cinco Políticas para un Ambiente Habitable</w:t>
      </w:r>
      <w:bookmarkEnd w:id="24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68fbad37c2f459424a58088ab8b403a783a9841"/>
      <w:r>
        <w:t xml:space="preserve">Política 1: Argentina Solar — Energía renovable para todos</w:t>
      </w:r>
      <w:bookmarkEnd w:id="25"/>
    </w:p>
    <w:p>
      <w:pPr>
        <w:pStyle w:val="FirstParagraph"/>
      </w:pPr>
      <w:r>
        <w:rPr>
          <w:i/>
        </w:rPr>
        <w:t xml:space="preserve">Inspirada en India (revolución solar), Uruguay (95% renovable), Marruecos (Noor), comunidades energéticas de Alemania y Brooklyn Microgrid</w:t>
      </w:r>
    </w:p>
    <w:p>
      <w:pPr>
        <w:pStyle w:val="Heading3"/>
      </w:pPr>
      <w:bookmarkStart w:id="26" w:name="qué-es"/>
      <w:r>
        <w:t xml:space="preserve">Qué es</w:t>
      </w:r>
      <w:bookmarkEnd w:id="26"/>
    </w:p>
    <w:p>
      <w:pPr>
        <w:pStyle w:val="FirstParagraph"/>
      </w:pPr>
      <w:r>
        <w:t xml:space="preserve">Una transición energética acelerada que lleva la matriz renovable del 19% actual al 50% en 2031, democratizando la energía: no solo grandes parques solares para corporaciones, sino paneles en cada techo de barrio popular, cooperativas energéticas comunitarias, y formación de 50.000 técnicos solares.</w:t>
      </w:r>
    </w:p>
    <w:p>
      <w:pPr>
        <w:pStyle w:val="Heading3"/>
      </w:pPr>
      <w:bookmarkStart w:id="27" w:name="por-qué-esta-política"/>
      <w:r>
        <w:t xml:space="preserve">Por qué esta política</w:t>
      </w:r>
      <w:bookmarkEnd w:id="27"/>
    </w:p>
    <w:p>
      <w:pPr>
        <w:pStyle w:val="FirstParagraph"/>
      </w:pPr>
      <w:r>
        <w:rPr>
          <w:b/>
        </w:rPr>
        <w:t xml:space="preserve">Uruguay</w:t>
      </w:r>
      <w:r>
        <w:t xml:space="preserve"> </w:t>
      </w:r>
      <w:r>
        <w:t xml:space="preserve">pasó del 5% al 95% de electricidad renovable en apenas 15 años, sin subsidios masivos, usando contratos de largo plazo con privados y una empresa eléctrica estatal fuerte (UTE).</w:t>
      </w:r>
      <w:r>
        <w:t xml:space="preserve"> </w:t>
      </w:r>
      <w:r>
        <w:rPr>
          <w:b/>
        </w:rPr>
        <w:t xml:space="preserve">India</w:t>
      </w:r>
      <w:r>
        <w:t xml:space="preserve"> </w:t>
      </w:r>
      <w:r>
        <w:t xml:space="preserve">instaló 132 GW de solar — un crecimiento del 41% — y convirtió la energía solar en la más barata de su historia.</w:t>
      </w:r>
      <w:r>
        <w:t xml:space="preserve"> </w:t>
      </w:r>
      <w:r>
        <w:rPr>
          <w:b/>
        </w:rPr>
        <w:t xml:space="preserve">Marruecos</w:t>
      </w:r>
      <w:r>
        <w:t xml:space="preserve">, un país sin petróleo, construyó Noor, la planta solar concentrada más grande del mundo, y planea el proyecto Midelt de 2.000 MW.</w:t>
      </w:r>
    </w:p>
    <w:p>
      <w:pPr>
        <w:pStyle w:val="BodyText"/>
      </w:pPr>
      <w:r>
        <w:t xml:space="preserve">Argentina tiene el</w:t>
      </w:r>
      <w:r>
        <w:t xml:space="preserve"> </w:t>
      </w:r>
      <w:r>
        <w:rPr>
          <w:b/>
        </w:rPr>
        <w:t xml:space="preserve">mejor recurso solar del mundo</w:t>
      </w:r>
      <w:r>
        <w:t xml:space="preserve"> </w:t>
      </w:r>
      <w:r>
        <w:t xml:space="preserve">en el NOA (Salta, Jujuy, Catamarca) y un recurso eólico de clase mundial en la Patagonia. Y sin embargo, sigue quemando gas.</w:t>
      </w:r>
    </w:p>
    <w:p>
      <w:pPr>
        <w:pStyle w:val="BodyText"/>
      </w:pPr>
      <w:r>
        <w:t xml:space="preserve">En Alemania,</w:t>
      </w:r>
      <w:r>
        <w:t xml:space="preserve"> </w:t>
      </w:r>
      <w:r>
        <w:rPr>
          <w:b/>
        </w:rPr>
        <w:t xml:space="preserve">1.000 cooperativas energéticas</w:t>
      </w:r>
      <w:r>
        <w:t xml:space="preserve"> </w:t>
      </w:r>
      <w:r>
        <w:t xml:space="preserve">generan electricidad comunitaria. Los vecinos son dueños de los paneles, consumen lo que producen y venden el excedente. El Brooklyn Microgrid en Nueva York permite que los vecinos se vendan energía solar entre sí mediante blockchain.</w:t>
      </w:r>
    </w:p>
    <w:p>
      <w:pPr>
        <w:pStyle w:val="Heading3"/>
      </w:pPr>
      <w:bookmarkStart w:id="28" w:name="diseño-para-argentina"/>
      <w:r>
        <w:t xml:space="preserve">Diseño para Argentina</w:t>
      </w:r>
      <w:bookmarkEnd w:id="28"/>
    </w:p>
    <w:p>
      <w:pPr>
        <w:pStyle w:val="FirstParagraph"/>
      </w:pPr>
      <w:r>
        <w:rPr>
          <w:b/>
        </w:rPr>
        <w:t xml:space="preserve">Componente 1 — Techos Solares para Barrios Populares:</w:t>
      </w:r>
      <w:r>
        <w:t xml:space="preserve"> </w:t>
      </w:r>
      <w:r>
        <w:t xml:space="preserve">- Instalación de paneles solares en 100.000 viviendas de barrios populares</w:t>
      </w:r>
      <w:r>
        <w:t xml:space="preserve"> </w:t>
      </w:r>
      <w:r>
        <w:t xml:space="preserve">- Cada hogar reduce su factura energética entre 50-80%</w:t>
      </w:r>
      <w:r>
        <w:t xml:space="preserve"> </w:t>
      </w:r>
      <w:r>
        <w:t xml:space="preserve">- Los paneles son propiedad comunitaria (cooperativa del barrio)</w:t>
      </w:r>
      <w:r>
        <w:t xml:space="preserve"> </w:t>
      </w:r>
      <w:r>
        <w:t xml:space="preserve">- Formación de instaladores locales como fuente de empleo</w:t>
      </w:r>
      <w:r>
        <w:t xml:space="preserve"> </w:t>
      </w:r>
      <w:r>
        <w:t xml:space="preserve">- Meta: 100.000 techos solares, 500 MW distribuidos</w:t>
      </w:r>
    </w:p>
    <w:p>
      <w:pPr>
        <w:pStyle w:val="BodyText"/>
      </w:pPr>
      <w:r>
        <w:rPr>
          <w:b/>
        </w:rPr>
        <w:t xml:space="preserve">Componente 2 — Cooperativas Energéticas:</w:t>
      </w:r>
      <w:r>
        <w:t xml:space="preserve"> </w:t>
      </w:r>
      <w:r>
        <w:t xml:space="preserve">- 200 cooperativas energéticas comunitarias en todo el país</w:t>
      </w:r>
      <w:r>
        <w:t xml:space="preserve"> </w:t>
      </w:r>
      <w:r>
        <w:t xml:space="preserve">- Cada cooperativa opera un micro-parque solar o eólico de 1-5 MW</w:t>
      </w:r>
      <w:r>
        <w:t xml:space="preserve"> </w:t>
      </w:r>
      <w:r>
        <w:t xml:space="preserve">- Los vecinos son socios, consumen energía limpia a precio de costo</w:t>
      </w:r>
      <w:r>
        <w:t xml:space="preserve"> </w:t>
      </w:r>
      <w:r>
        <w:t xml:space="preserve">- Excedentes se venden a la red (medición neta ya existe por Ley 27.191)</w:t>
      </w:r>
      <w:r>
        <w:t xml:space="preserve"> </w:t>
      </w:r>
      <w:r>
        <w:t xml:space="preserve">- Meta: 200 cooperativas, 500 MW comunitarios</w:t>
      </w:r>
    </w:p>
    <w:p>
      <w:pPr>
        <w:pStyle w:val="BodyText"/>
      </w:pPr>
      <w:r>
        <w:rPr>
          <w:b/>
        </w:rPr>
        <w:t xml:space="preserve">Componente 3 — Grandes Parques Renovables:</w:t>
      </w:r>
      <w:r>
        <w:t xml:space="preserve"> </w:t>
      </w:r>
      <w:r>
        <w:t xml:space="preserve">- Licitación de 5.000 MW de nueva capacidad solar y eólica</w:t>
      </w:r>
      <w:r>
        <w:t xml:space="preserve"> </w:t>
      </w:r>
      <w:r>
        <w:t xml:space="preserve">- Contratos PPA a 20 años (modelo Uruguay)</w:t>
      </w:r>
      <w:r>
        <w:t xml:space="preserve"> </w:t>
      </w:r>
      <w:r>
        <w:t xml:space="preserve">- Localización prioritaria: NOA (solar), Patagonia (eólico), Cuyo (solar)</w:t>
      </w:r>
      <w:r>
        <w:t xml:space="preserve"> </w:t>
      </w:r>
      <w:r>
        <w:t xml:space="preserve">- Componente local: 30% de equipamiento fabricado en Argentina</w:t>
      </w:r>
      <w:r>
        <w:t xml:space="preserve"> </w:t>
      </w:r>
      <w:r>
        <w:t xml:space="preserve">- Meta: 5.000 MW utilitarios</w:t>
      </w:r>
    </w:p>
    <w:p>
      <w:pPr>
        <w:pStyle w:val="BodyText"/>
      </w:pPr>
      <w:r>
        <w:rPr>
          <w:b/>
        </w:rPr>
        <w:t xml:space="preserve">Componente 4 — Formación de 50.000 Técnicos en Renovables:</w:t>
      </w:r>
      <w:r>
        <w:t xml:space="preserve"> </w:t>
      </w:r>
      <w:r>
        <w:t xml:space="preserve">- Vinculada con Política 06 (Formación para la Era IA)</w:t>
      </w:r>
      <w:r>
        <w:t xml:space="preserve"> </w:t>
      </w:r>
      <w:r>
        <w:t xml:space="preserve">- Técnicos solares, instaladores eólicos, mantenimiento, diseño</w:t>
      </w:r>
      <w:r>
        <w:t xml:space="preserve"> </w:t>
      </w:r>
      <w:r>
        <w:t xml:space="preserve">- Certificación nacional reconocida</w:t>
      </w:r>
      <w:r>
        <w:t xml:space="preserve"> </w:t>
      </w:r>
      <w:r>
        <w:t xml:space="preserve">- Prioridad: jóvenes de zonas rurales y barrios populares</w:t>
      </w:r>
    </w:p>
    <w:p>
      <w:pPr>
        <w:pStyle w:val="Heading3"/>
      </w:pPr>
      <w:bookmarkStart w:id="29" w:name="costeo"/>
      <w:r>
        <w:t xml:space="preserve">Costeo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(5 años)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100.000 techos solares (USD 3.500/techo promedio)</w:t>
            </w:r>
          </w:p>
        </w:tc>
        <w:tc>
          <w:p>
            <w:pPr>
              <w:pStyle w:val="Compact"/>
              <w:jc w:val="left"/>
            </w:pPr>
            <w:r>
              <w:t xml:space="preserve">USD 350M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 cooperativas energéticas (USD 2M promedio)</w:t>
            </w:r>
          </w:p>
        </w:tc>
        <w:tc>
          <w:p>
            <w:pPr>
              <w:pStyle w:val="Compact"/>
              <w:jc w:val="left"/>
            </w:pPr>
            <w:r>
              <w:t xml:space="preserve">USD 400M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5.000 MW grandes parques (USD 800K/MW promedio)</w:t>
            </w:r>
          </w:p>
        </w:tc>
        <w:tc>
          <w:p>
            <w:pPr>
              <w:pStyle w:val="Compact"/>
              <w:jc w:val="left"/>
            </w:pPr>
            <w:r>
              <w:t xml:space="preserve">USD 4.000M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Formación 50.000 técnicos</w:t>
            </w:r>
          </w:p>
        </w:tc>
        <w:tc>
          <w:p>
            <w:pPr>
              <w:pStyle w:val="Compact"/>
              <w:jc w:val="left"/>
            </w:pPr>
            <w:r>
              <w:t xml:space="preserve">USD 250M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Infraestructura de red (transmisión y distribución)</w:t>
            </w:r>
          </w:p>
        </w:tc>
        <w:tc>
          <w:p>
            <w:pPr>
              <w:pStyle w:val="Compact"/>
              <w:jc w:val="left"/>
            </w:pPr>
            <w:r>
              <w:t xml:space="preserve">USD 1.000M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6.000M</w:t>
            </w:r>
          </w:p>
        </w:tc>
      </w:tr>
    </w:tbl>
    <w:p>
      <w:pPr>
        <w:pStyle w:val="Heading3"/>
      </w:pPr>
      <w:bookmarkStart w:id="30" w:name="financiamiento"/>
      <w:r>
        <w:t xml:space="preserve">Financiamiento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Inversión privada (PPAs con retorno garantizado)</w:t>
            </w:r>
          </w:p>
        </w:tc>
        <w:tc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p>
            <w:pPr>
              <w:pStyle w:val="Compact"/>
              <w:jc w:val="left"/>
            </w:pPr>
            <w:r>
              <w:t xml:space="preserve">USD 2.700M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Green Climate Fund + bonos verdes soberanos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USD 1.500M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BID / Banco Mundial (infraestructura energética)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USD 900M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Presupuesto nacional (transición energética)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USD 600M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Ahorro en subsidios a combustibles fósiles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USD 300M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6127a11824b66a855215bd05d886b371156ddcc"/>
      <w:r>
        <w:t xml:space="preserve">Política 2: Bosques en Pie — Deforestación Cero y Restauración Masiva</w:t>
      </w:r>
      <w:bookmarkEnd w:id="31"/>
    </w:p>
    <w:p>
      <w:pPr>
        <w:pStyle w:val="FirstParagraph"/>
      </w:pPr>
      <w:r>
        <w:rPr>
          <w:i/>
        </w:rPr>
        <w:t xml:space="preserve">Inspirada en Costa Rica (pagos por servicios ecosistémicos), la Gran Muralla Verde del Sahel, el rewilding europeo, y la Ley de Bosques argentina (que existe pero se incumple)</w:t>
      </w:r>
    </w:p>
    <w:p>
      <w:pPr>
        <w:pStyle w:val="Heading3"/>
      </w:pPr>
      <w:bookmarkStart w:id="32" w:name="qué-es-1"/>
      <w:r>
        <w:t xml:space="preserve">Qué es</w:t>
      </w:r>
      <w:bookmarkEnd w:id="32"/>
    </w:p>
    <w:p>
      <w:pPr>
        <w:pStyle w:val="FirstParagraph"/>
      </w:pPr>
      <w:r>
        <w:t xml:space="preserve">Un programa que combina aplicación real de la Ley de Bosques (Ley 26.331), pagos a comunidades por conservar bosques, y restauración de 1 millón de hectáreas degradadas con especies nativas, frutales y agroforestería. No es prohibir — es que conservar el bosque sea más rentable que talarlo.</w:t>
      </w:r>
    </w:p>
    <w:p>
      <w:pPr>
        <w:pStyle w:val="Heading3"/>
      </w:pPr>
      <w:bookmarkStart w:id="33" w:name="por-qué-esta-política-1"/>
      <w:r>
        <w:t xml:space="preserve">Por qué esta política</w:t>
      </w:r>
      <w:bookmarkEnd w:id="33"/>
    </w:p>
    <w:p>
      <w:pPr>
        <w:pStyle w:val="FirstParagraph"/>
      </w:pPr>
      <w:r>
        <w:rPr>
          <w:b/>
        </w:rPr>
        <w:t xml:space="preserve">Costa Rica</w:t>
      </w:r>
      <w:r>
        <w:t xml:space="preserve"> </w:t>
      </w:r>
      <w:r>
        <w:t xml:space="preserve">pasó de tener la tasa de deforestación más alta del mundo en los ’80 a tener el 52% de su territorio cubierto por bosque hoy. El secreto:</w:t>
      </w:r>
      <w:r>
        <w:t xml:space="preserve"> </w:t>
      </w:r>
      <w:r>
        <w:rPr>
          <w:b/>
        </w:rPr>
        <w:t xml:space="preserve">pagos por servicios ambientales</w:t>
      </w:r>
      <w:r>
        <w:t xml:space="preserve">. El Estado le paga a los dueños de tierra por mantener el bosque en pie, porque ese bosque captura carbono, protege cuencas, conserva biodiversidad y sostiene el turismo. Financiamiento: un impuesto al combustible.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</w:rPr>
        <w:t xml:space="preserve">Gran Muralla Verde del Sahel</w:t>
      </w:r>
      <w:r>
        <w:t xml:space="preserve"> </w:t>
      </w:r>
      <w:r>
        <w:t xml:space="preserve">ya restauró 20 millones de hectáreas en África, generó 350.000 empleos y busca llegar a 100 millones de hectáreas para 2030.</w:t>
      </w:r>
    </w:p>
    <w:p>
      <w:pPr>
        <w:pStyle w:val="BodyText"/>
      </w:pPr>
      <w:r>
        <w:t xml:space="preserve">En Argentina, la Ley de Bosques existe desde 2007. Prohíbe desmontar zonas clasificadas como rojas y amarillas. Pero se viola sistemáticamente: el 76% de la deforestación de 2025 fue en zonas protegidas. El Fondo de Bosques (que debería recibir el 0,3% del presupuesto nacional) se financió con apenas el 5% de lo que la ley manda.</w:t>
      </w:r>
    </w:p>
    <w:p>
      <w:pPr>
        <w:pStyle w:val="Heading3"/>
      </w:pPr>
      <w:bookmarkStart w:id="34" w:name="diseño-para-argentina-1"/>
      <w:r>
        <w:t xml:space="preserve">Diseño para Argentina</w:t>
      </w:r>
      <w:bookmarkEnd w:id="34"/>
    </w:p>
    <w:p>
      <w:pPr>
        <w:pStyle w:val="FirstParagraph"/>
      </w:pPr>
      <w:r>
        <w:rPr>
          <w:b/>
        </w:rPr>
        <w:t xml:space="preserve">Componente 1 — Cumplimiento Real de la Ley de Bosques:</w:t>
      </w:r>
      <w:r>
        <w:t xml:space="preserve"> </w:t>
      </w:r>
      <w:r>
        <w:t xml:space="preserve">- Financiamiento completo del Fondo Nacional de Bosques (0,3% del presupuesto)</w:t>
      </w:r>
      <w:r>
        <w:t xml:space="preserve"> </w:t>
      </w:r>
      <w:r>
        <w:t xml:space="preserve">- Sistema de monitoreo satelital en tiempo real (existe parcialmente en MAyDS)</w:t>
      </w:r>
      <w:r>
        <w:t xml:space="preserve"> </w:t>
      </w:r>
      <w:r>
        <w:t xml:space="preserve">- Fiscalización con guardias forestales capacitados (3.000 nuevos)</w:t>
      </w:r>
      <w:r>
        <w:t xml:space="preserve"> </w:t>
      </w:r>
      <w:r>
        <w:t xml:space="preserve">- Sanciones efectivas (hoy la multa por desmontar es menor que la ganancia)</w:t>
      </w:r>
      <w:r>
        <w:t xml:space="preserve"> </w:t>
      </w:r>
      <w:r>
        <w:t xml:space="preserve">- Participación de comunidades indígenas en la vigilancia</w:t>
      </w:r>
    </w:p>
    <w:p>
      <w:pPr>
        <w:pStyle w:val="BodyText"/>
      </w:pPr>
      <w:r>
        <w:rPr>
          <w:b/>
        </w:rPr>
        <w:t xml:space="preserve">Componente 2 — Pagos por Servicios Ecosistémicos:</w:t>
      </w:r>
      <w:r>
        <w:t xml:space="preserve"> </w:t>
      </w:r>
      <w:r>
        <w:t xml:space="preserve">- Pago a 50.000 familias rurales e indígenas por mantener bosque en pie</w:t>
      </w:r>
      <w:r>
        <w:t xml:space="preserve"> </w:t>
      </w:r>
      <w:r>
        <w:t xml:space="preserve">- USD 50/hectárea/año (modelo Costa Rica adaptado)</w:t>
      </w:r>
      <w:r>
        <w:t xml:space="preserve"> </w:t>
      </w:r>
      <w:r>
        <w:t xml:space="preserve">- Cobertura: 5 millones de hectáreas protegidas</w:t>
      </w:r>
      <w:r>
        <w:t xml:space="preserve"> </w:t>
      </w:r>
      <w:r>
        <w:t xml:space="preserve">- Financiamiento: impuesto al carbono + bonos de carbono internacionales</w:t>
      </w:r>
    </w:p>
    <w:p>
      <w:pPr>
        <w:pStyle w:val="BodyText"/>
      </w:pPr>
      <w:r>
        <w:rPr>
          <w:b/>
        </w:rPr>
        <w:t xml:space="preserve">Componente 3 — Restauración de 1 Millón de Hectáreas:</w:t>
      </w:r>
      <w:r>
        <w:t xml:space="preserve"> </w:t>
      </w:r>
      <w:r>
        <w:t xml:space="preserve">- Agroforestería: combinación de árboles nativos con producción (yerba mate, cítricos, apicultura)</w:t>
      </w:r>
      <w:r>
        <w:t xml:space="preserve"> </w:t>
      </w:r>
      <w:r>
        <w:t xml:space="preserve">- Empleo local: 50.000 puestos de trabajo en restauración</w:t>
      </w:r>
      <w:r>
        <w:t xml:space="preserve"> </w:t>
      </w:r>
      <w:r>
        <w:t xml:space="preserve">- Viveros comunitarios de especies nativas en cada provincia</w:t>
      </w:r>
      <w:r>
        <w:t xml:space="preserve"> </w:t>
      </w:r>
      <w:r>
        <w:t xml:space="preserve">- Meta: 1 millón de hectáreas en 5 años (200.000/año)</w:t>
      </w:r>
    </w:p>
    <w:p>
      <w:pPr>
        <w:pStyle w:val="Heading3"/>
      </w:pPr>
      <w:bookmarkStart w:id="35" w:name="costeo-1"/>
      <w:r>
        <w:t xml:space="preserve">Costeo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(5 años)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Fondo de Bosques (cumplimiento legal)</w:t>
            </w:r>
          </w:p>
        </w:tc>
        <w:tc>
          <w:p>
            <w:pPr>
              <w:pStyle w:val="Compact"/>
              <w:jc w:val="left"/>
            </w:pPr>
            <w:r>
              <w:t xml:space="preserve">USD 500M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Pagos por servicios ecosistémicos (5M ha × USD 50/ha × 5 años)</w:t>
            </w:r>
          </w:p>
        </w:tc>
        <w:tc>
          <w:p>
            <w:pPr>
              <w:pStyle w:val="Compact"/>
              <w:jc w:val="left"/>
            </w:pPr>
            <w:r>
              <w:t xml:space="preserve">USD 1.250M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Restauración (1M ha × USD 1.500/ha promedio)</w:t>
            </w:r>
          </w:p>
        </w:tc>
        <w:tc>
          <w:p>
            <w:pPr>
              <w:pStyle w:val="Compact"/>
              <w:jc w:val="left"/>
            </w:pPr>
            <w:r>
              <w:t xml:space="preserve">USD 1.500M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Guardias forestales + monitoreo satelital</w:t>
            </w:r>
          </w:p>
        </w:tc>
        <w:tc>
          <w:p>
            <w:pPr>
              <w:pStyle w:val="Compact"/>
              <w:jc w:val="left"/>
            </w:pPr>
            <w:r>
              <w:t xml:space="preserve">USD 300M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Viveros comunitarios (500 viveros)</w:t>
            </w:r>
          </w:p>
        </w:tc>
        <w:tc>
          <w:p>
            <w:pPr>
              <w:pStyle w:val="Compact"/>
              <w:jc w:val="left"/>
            </w:pPr>
            <w:r>
              <w:t xml:space="preserve">USD 100M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3.650M</w:t>
            </w:r>
          </w:p>
        </w:tc>
      </w:tr>
    </w:tbl>
    <w:p>
      <w:pPr>
        <w:pStyle w:val="Heading3"/>
      </w:pPr>
      <w:bookmarkStart w:id="36" w:name="financiamiento-1"/>
      <w:r>
        <w:t xml:space="preserve">Financiamiento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Carbon tax nacional (Política 10)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USD 1.095M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Mercados de carbono internacionales (REDD+)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USD 912M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Green Climate Fund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USD 730M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Presupuesto nacional (Fondo de Bosques legal)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USD 548M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Cooperación internacional (Noruega, Alemania, UE)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USD 365M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e7d90e36ff35f8d5aa9e510dd673931f70973ab"/>
      <w:r>
        <w:t xml:space="preserve">Política 3: Ciudades Esponja y Adaptación Urbana</w:t>
      </w:r>
      <w:bookmarkEnd w:id="37"/>
    </w:p>
    <w:p>
      <w:pPr>
        <w:pStyle w:val="FirstParagraph"/>
      </w:pPr>
      <w:r>
        <w:rPr>
          <w:i/>
        </w:rPr>
        <w:t xml:space="preserve">Inspirada en Copenhague (adaptación al agua), ciudades esponja de China, Barcelona (Superilles), y Curitiba (urbanismo sostenible)</w:t>
      </w:r>
    </w:p>
    <w:p>
      <w:pPr>
        <w:pStyle w:val="Heading3"/>
      </w:pPr>
      <w:bookmarkStart w:id="38" w:name="qué-es-2"/>
      <w:r>
        <w:t xml:space="preserve">Qué es</w:t>
      </w:r>
      <w:bookmarkEnd w:id="38"/>
    </w:p>
    <w:p>
      <w:pPr>
        <w:pStyle w:val="FirstParagraph"/>
      </w:pPr>
      <w:r>
        <w:t xml:space="preserve">Un programa de adaptación climática urbana que prepara a las ciudades argentinas para las inundaciones y olas de calor cada vez más frecuentes. Transforma el hormigón en verde: plazas inundables, techos verdes, pavimento permeable, arbolado masivo, y drenaje natural. Prioridad: los barrios populares, que siempre se inundan primero.</w:t>
      </w:r>
    </w:p>
    <w:p>
      <w:pPr>
        <w:pStyle w:val="Heading3"/>
      </w:pPr>
      <w:bookmarkStart w:id="39" w:name="por-qué-esta-política-2"/>
      <w:r>
        <w:t xml:space="preserve">Por qué esta política</w:t>
      </w:r>
      <w:bookmarkEnd w:id="39"/>
    </w:p>
    <w:p>
      <w:pPr>
        <w:pStyle w:val="FirstParagraph"/>
      </w:pPr>
      <w:r>
        <w:rPr>
          <w:b/>
        </w:rPr>
        <w:t xml:space="preserve">Copenhague</w:t>
      </w:r>
      <w:r>
        <w:t xml:space="preserve"> </w:t>
      </w:r>
      <w:r>
        <w:t xml:space="preserve">invirtió €2.000 millones en su plan de adaptación al agua después de una inundación devastadora en 2011. Resultado: calles que se convierten en canales temporales, plazas que absorben agua, parques que funcionan como reservorios. Cada €1 invertido ahorra €4 en daños evitados.</w:t>
      </w:r>
    </w:p>
    <w:p>
      <w:pPr>
        <w:pStyle w:val="BodyText"/>
      </w:pPr>
      <w:r>
        <w:t xml:space="preserve">Las</w:t>
      </w:r>
      <w:r>
        <w:t xml:space="preserve"> </w:t>
      </w:r>
      <w:r>
        <w:rPr>
          <w:b/>
        </w:rPr>
        <w:t xml:space="preserve">ciudades esponja</w:t>
      </w:r>
      <w:r>
        <w:t xml:space="preserve"> </w:t>
      </w:r>
      <w:r>
        <w:t xml:space="preserve">de China transforman el paisaje urbano con jardines de lluvia, humedales artificiales y pavimento poroso. Copenhague y Ámsterdam usan la misma lógica pero adaptada a Europa.</w:t>
      </w:r>
    </w:p>
    <w:p>
      <w:pPr>
        <w:pStyle w:val="BodyText"/>
      </w:pPr>
      <w:r>
        <w:t xml:space="preserve">En Argentina, las</w:t>
      </w:r>
      <w:r>
        <w:t xml:space="preserve"> </w:t>
      </w:r>
      <w:r>
        <w:rPr>
          <w:b/>
        </w:rPr>
        <w:t xml:space="preserve">inundaciones de La Plata (2013)</w:t>
      </w:r>
      <w:r>
        <w:t xml:space="preserve"> </w:t>
      </w:r>
      <w:r>
        <w:t xml:space="preserve">mataron a 89 personas. Las inundaciones del litoral son recurrentes. Buenos Aires se inunda cada vez que llueve fuerte. Y los barrios populares están siempre en la zona más baja, más vulnerable, más olvidada.</w:t>
      </w:r>
    </w:p>
    <w:p>
      <w:pPr>
        <w:pStyle w:val="Heading3"/>
      </w:pPr>
      <w:bookmarkStart w:id="40" w:name="diseño-para-argentina-2"/>
      <w:r>
        <w:t xml:space="preserve">Diseño para Argentina</w:t>
      </w:r>
      <w:bookmarkEnd w:id="40"/>
    </w:p>
    <w:p>
      <w:pPr>
        <w:pStyle w:val="FirstParagraph"/>
      </w:pPr>
      <w:r>
        <w:rPr>
          <w:b/>
        </w:rPr>
        <w:t xml:space="preserve">Componente 1 — Barrios Resilientes:</w:t>
      </w:r>
      <w:r>
        <w:t xml:space="preserve"> </w:t>
      </w:r>
      <w:r>
        <w:t xml:space="preserve">- Infraestructura de drenaje y adaptación en 500 barrios populares</w:t>
      </w:r>
      <w:r>
        <w:t xml:space="preserve"> </w:t>
      </w:r>
      <w:r>
        <w:t xml:space="preserve">- Pavimento permeable, jardines de lluvia, sistemas de alerta temprana</w:t>
      </w:r>
      <w:r>
        <w:t xml:space="preserve"> </w:t>
      </w:r>
      <w:r>
        <w:t xml:space="preserve">- Co-diseño con vecinos (cada barrio elige su solución)</w:t>
      </w:r>
      <w:r>
        <w:t xml:space="preserve"> </w:t>
      </w:r>
      <w:r>
        <w:t xml:space="preserve">- Prioridad: zonas inundables del conurbano, litoral, y NOA</w:t>
      </w:r>
    </w:p>
    <w:p>
      <w:pPr>
        <w:pStyle w:val="BodyText"/>
      </w:pPr>
      <w:r>
        <w:rPr>
          <w:b/>
        </w:rPr>
        <w:t xml:space="preserve">Componente 2 — Arbolado Urbano Masivo:</w:t>
      </w:r>
      <w:r>
        <w:t xml:space="preserve"> </w:t>
      </w:r>
      <w:r>
        <w:t xml:space="preserve">- Plantación de 10 millones de árboles en ciudades argentinas</w:t>
      </w:r>
      <w:r>
        <w:t xml:space="preserve"> </w:t>
      </w:r>
      <w:r>
        <w:t xml:space="preserve">- Prioridad: barrios sin verde, islas de calor</w:t>
      </w:r>
      <w:r>
        <w:t xml:space="preserve"> </w:t>
      </w:r>
      <w:r>
        <w:t xml:space="preserve">- Especies nativas adaptadas al clima local</w:t>
      </w:r>
      <w:r>
        <w:t xml:space="preserve"> </w:t>
      </w:r>
      <w:r>
        <w:t xml:space="preserve">- Empleo: 20.000 puestos en viveros y plantación</w:t>
      </w:r>
    </w:p>
    <w:p>
      <w:pPr>
        <w:pStyle w:val="BodyText"/>
      </w:pPr>
      <w:r>
        <w:rPr>
          <w:b/>
        </w:rPr>
        <w:t xml:space="preserve">Componente 3 — Infraestructura Verde para Inundaciones:</w:t>
      </w:r>
      <w:r>
        <w:t xml:space="preserve"> </w:t>
      </w:r>
      <w:r>
        <w:t xml:space="preserve">- 50 parques inundables en ciudades principales</w:t>
      </w:r>
      <w:r>
        <w:t xml:space="preserve"> </w:t>
      </w:r>
      <w:r>
        <w:t xml:space="preserve">- Techos verdes obligatorios para edificios nuevos &gt;500m²</w:t>
      </w:r>
      <w:r>
        <w:t xml:space="preserve"> </w:t>
      </w:r>
      <w:r>
        <w:t xml:space="preserve">- Restauración de arroyos y humedales urbanos</w:t>
      </w:r>
      <w:r>
        <w:t xml:space="preserve"> </w:t>
      </w:r>
      <w:r>
        <w:t xml:space="preserve">- Sistemas de alerta temprana con IA en 200 municipios</w:t>
      </w:r>
    </w:p>
    <w:p>
      <w:pPr>
        <w:pStyle w:val="Heading3"/>
      </w:pPr>
      <w:bookmarkStart w:id="41" w:name="costeo-2"/>
      <w:r>
        <w:t xml:space="preserve">Costeo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(5 años)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 barrios resilientes (USD 2M promedio)</w:t>
            </w:r>
          </w:p>
        </w:tc>
        <w:tc>
          <w:p>
            <w:pPr>
              <w:pStyle w:val="Compact"/>
              <w:jc w:val="left"/>
            </w:pPr>
            <w:r>
              <w:t xml:space="preserve">USD 1.000M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millones de árboles urbanos</w:t>
            </w:r>
          </w:p>
        </w:tc>
        <w:tc>
          <w:p>
            <w:pPr>
              <w:pStyle w:val="Compact"/>
              <w:jc w:val="left"/>
            </w:pPr>
            <w:r>
              <w:t xml:space="preserve">USD 200M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 parques inundables</w:t>
            </w:r>
          </w:p>
        </w:tc>
        <w:tc>
          <w:p>
            <w:pPr>
              <w:pStyle w:val="Compact"/>
              <w:jc w:val="left"/>
            </w:pPr>
            <w:r>
              <w:t xml:space="preserve">USD 500M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Sistemas de alerta temprana (200 municipios)</w:t>
            </w:r>
          </w:p>
        </w:tc>
        <w:tc>
          <w:p>
            <w:pPr>
              <w:pStyle w:val="Compact"/>
              <w:jc w:val="left"/>
            </w:pPr>
            <w:r>
              <w:t xml:space="preserve">USD 100M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1.800M</w:t>
            </w:r>
          </w:p>
        </w:tc>
      </w:tr>
    </w:tbl>
    <w:p>
      <w:pPr>
        <w:pStyle w:val="Heading3"/>
      </w:pPr>
      <w:bookmarkStart w:id="42" w:name="financiamiento-2"/>
      <w:r>
        <w:t xml:space="preserve">Financiamiento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BID / CAF (infraestructura urbana resiliente)</w:t>
            </w:r>
          </w:p>
        </w:tc>
        <w:tc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p>
            <w:pPr>
              <w:pStyle w:val="Compact"/>
              <w:jc w:val="left"/>
            </w:pPr>
            <w:r>
              <w:t xml:space="preserve">USD 630M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Green Climate Fund (adaptación)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USD 450M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Presupuesto nacional + provincial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USD 450M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Bonos verdes municipales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USD 270M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1f2c04ce4c0c36f93d39386ec1452ea72152484"/>
      <w:r>
        <w:t xml:space="preserve">Política 4: Agricultura Regenerativa — Del Veneno al Alimento</w:t>
      </w:r>
      <w:bookmarkEnd w:id="43"/>
    </w:p>
    <w:p>
      <w:pPr>
        <w:pStyle w:val="FirstParagraph"/>
      </w:pPr>
      <w:r>
        <w:rPr>
          <w:i/>
        </w:rPr>
        <w:t xml:space="preserve">Inspirada en agricultura regenerativa (Gabe Brown, EEUU), permacultura (Australia), agroforestería tropical (Brasil), y la agroecología cubana</w:t>
      </w:r>
    </w:p>
    <w:p>
      <w:pPr>
        <w:pStyle w:val="Heading3"/>
      </w:pPr>
      <w:bookmarkStart w:id="44" w:name="qué-es-3"/>
      <w:r>
        <w:t xml:space="preserve">Qué es</w:t>
      </w:r>
      <w:bookmarkEnd w:id="44"/>
    </w:p>
    <w:p>
      <w:pPr>
        <w:pStyle w:val="FirstParagraph"/>
      </w:pPr>
      <w:r>
        <w:t xml:space="preserve">Un programa de transición de la agricultura convencional (dependiente de agroquímicos, monocultivo, degradación de suelos) hacia una agricultura regenerativa que restaura el suelo, elimina agroquímicos, diversifica la producción, y protege la salud de las comunidades rurales. No es volver al pasado — es usar ciencia moderna para producir más con menos veneno.</w:t>
      </w:r>
    </w:p>
    <w:p>
      <w:pPr>
        <w:pStyle w:val="Heading3"/>
      </w:pPr>
      <w:bookmarkStart w:id="45" w:name="por-qué-esta-política-3"/>
      <w:r>
        <w:t xml:space="preserve">Por qué esta política</w:t>
      </w:r>
      <w:bookmarkEnd w:id="45"/>
    </w:p>
    <w:p>
      <w:pPr>
        <w:pStyle w:val="FirstParagraph"/>
      </w:pPr>
      <w:r>
        <w:t xml:space="preserve">La agricultura regenerativa no es un nicho hippie — es ciencia. Suelos sanos retienen más agua (resisten sequías), capturan carbono (mitigan cambio climático), y producen alimentos más nutritivos. En Colombia, la agricultura regenerativa aumentó la productividad un 40% y redujo los costos un 60%.</w:t>
      </w:r>
    </w:p>
    <w:p>
      <w:pPr>
        <w:pStyle w:val="BodyText"/>
      </w:pPr>
      <w:r>
        <w:t xml:space="preserve">En Argentina, el modelo de monocultivo sojero expone a millones de personas rurales a agroquímicos. Los</w:t>
      </w:r>
      <w:r>
        <w:t xml:space="preserve"> </w:t>
      </w:r>
      <w:r>
        <w:t xml:space="preserve">“</w:t>
      </w:r>
      <w:r>
        <w:t xml:space="preserve">pueblos fumigados</w:t>
      </w:r>
      <w:r>
        <w:t xml:space="preserve">”</w:t>
      </w:r>
      <w:r>
        <w:t xml:space="preserve"> </w:t>
      </w:r>
      <w:r>
        <w:t xml:space="preserve">del litoral y la pampa tienen tasas de cáncer y malformaciones muy superiores al promedio. Los suelos de la pampa húmeda, antes los más fértiles del mundo, están perdiendo materia orgánica a tasas alarmantes.</w:t>
      </w:r>
    </w:p>
    <w:p>
      <w:pPr>
        <w:pStyle w:val="Heading3"/>
      </w:pPr>
      <w:bookmarkStart w:id="46" w:name="diseño-para-argentina-3"/>
      <w:r>
        <w:t xml:space="preserve">Diseño para Argentina</w:t>
      </w:r>
      <w:bookmarkEnd w:id="46"/>
    </w:p>
    <w:p>
      <w:pPr>
        <w:pStyle w:val="FirstParagraph"/>
      </w:pPr>
      <w:r>
        <w:rPr>
          <w:b/>
        </w:rPr>
        <w:t xml:space="preserve">Componente 1 — 100.000 Hectáreas de Transición:</w:t>
      </w:r>
      <w:r>
        <w:t xml:space="preserve"> </w:t>
      </w:r>
      <w:r>
        <w:t xml:space="preserve">- Programa de acompañamiento técnico y financiero para productores que quieran dejar agroquímicos</w:t>
      </w:r>
      <w:r>
        <w:t xml:space="preserve"> </w:t>
      </w:r>
      <w:r>
        <w:t xml:space="preserve">- Subsidio de transición (3 años de menor rendimiento compensados)</w:t>
      </w:r>
      <w:r>
        <w:t xml:space="preserve"> </w:t>
      </w:r>
      <w:r>
        <w:t xml:space="preserve">- Asistencia de ingenieros agrónomos especializados en regenerativo</w:t>
      </w:r>
      <w:r>
        <w:t xml:space="preserve"> </w:t>
      </w:r>
      <w:r>
        <w:t xml:space="preserve">- Meta: 100.000 hectáreas en transición, 10.000 productores</w:t>
      </w:r>
    </w:p>
    <w:p>
      <w:pPr>
        <w:pStyle w:val="BodyText"/>
      </w:pPr>
      <w:r>
        <w:rPr>
          <w:b/>
        </w:rPr>
        <w:t xml:space="preserve">Componente 2 — Cinturones Agroecológicos Periurbanos:</w:t>
      </w:r>
      <w:r>
        <w:t xml:space="preserve"> </w:t>
      </w:r>
      <w:r>
        <w:t xml:space="preserve">- Zonas de exclusión de fumigación alrededor de cada pueblo (mínimo 1.000 metros)</w:t>
      </w:r>
      <w:r>
        <w:t xml:space="preserve"> </w:t>
      </w:r>
      <w:r>
        <w:t xml:space="preserve">- Dentro del cinturón: huertas agroecológicas que proveen verdura fresca a la comunidad</w:t>
      </w:r>
      <w:r>
        <w:t xml:space="preserve"> </w:t>
      </w:r>
      <w:r>
        <w:t xml:space="preserve">- 500 huertas periurbanas con empleo local</w:t>
      </w:r>
      <w:r>
        <w:t xml:space="preserve"> </w:t>
      </w:r>
      <w:r>
        <w:t xml:space="preserve">- Mercados de cercanía (venta directa productor-consumidor)</w:t>
      </w:r>
    </w:p>
    <w:p>
      <w:pPr>
        <w:pStyle w:val="BodyText"/>
      </w:pPr>
      <w:r>
        <w:rPr>
          <w:b/>
        </w:rPr>
        <w:t xml:space="preserve">Componente 3 — Investigación en Bioinsumos:</w:t>
      </w:r>
      <w:r>
        <w:t xml:space="preserve"> </w:t>
      </w:r>
      <w:r>
        <w:t xml:space="preserve">- Centro nacional de bioinsumos (alternativas a agroquímicos)</w:t>
      </w:r>
      <w:r>
        <w:t xml:space="preserve"> </w:t>
      </w:r>
      <w:r>
        <w:t xml:space="preserve">- Desarrollo de biofertilizantes, biocontroladores de plagas</w:t>
      </w:r>
      <w:r>
        <w:t xml:space="preserve"> </w:t>
      </w:r>
      <w:r>
        <w:t xml:space="preserve">- Vinculación con INTA y universidades</w:t>
      </w:r>
      <w:r>
        <w:t xml:space="preserve"> </w:t>
      </w:r>
      <w:r>
        <w:t xml:space="preserve">- Meta: reemplazar el 30% del uso de agroquímicos con bioinsumos en 5 años</w:t>
      </w:r>
    </w:p>
    <w:p>
      <w:pPr>
        <w:pStyle w:val="Heading3"/>
      </w:pPr>
      <w:bookmarkStart w:id="47" w:name="costeo-3"/>
      <w:r>
        <w:t xml:space="preserve">Costeo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(5 años)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Programa de transición (100K hectáreas)</w:t>
            </w:r>
          </w:p>
        </w:tc>
        <w:tc>
          <w:p>
            <w:pPr>
              <w:pStyle w:val="Compact"/>
              <w:jc w:val="left"/>
            </w:pPr>
            <w:r>
              <w:t xml:space="preserve">USD 500M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 huertas periurbanas</w:t>
            </w:r>
          </w:p>
        </w:tc>
        <w:tc>
          <w:p>
            <w:pPr>
              <w:pStyle w:val="Compact"/>
              <w:jc w:val="left"/>
            </w:pPr>
            <w:r>
              <w:t xml:space="preserve">USD 150M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Centro de bioinsumos + investigación</w:t>
            </w:r>
          </w:p>
        </w:tc>
        <w:tc>
          <w:p>
            <w:pPr>
              <w:pStyle w:val="Compact"/>
              <w:jc w:val="left"/>
            </w:pPr>
            <w:r>
              <w:t xml:space="preserve">USD 100M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Formación de 5.000 técnicos agroecológicos</w:t>
            </w:r>
          </w:p>
        </w:tc>
        <w:tc>
          <w:p>
            <w:pPr>
              <w:pStyle w:val="Compact"/>
              <w:jc w:val="left"/>
            </w:pPr>
            <w:r>
              <w:t xml:space="preserve">USD 50M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800M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1c140c6cec841a139f50a9f3d2fa3f7149f647c"/>
      <w:r>
        <w:t xml:space="preserve">Política 5: Litio con Justicia — Minería Responsable para la Transición Global</w:t>
      </w:r>
      <w:bookmarkEnd w:id="48"/>
    </w:p>
    <w:p>
      <w:pPr>
        <w:pStyle w:val="FirstParagraph"/>
      </w:pPr>
      <w:r>
        <w:rPr>
          <w:i/>
        </w:rPr>
        <w:t xml:space="preserve">Inspirada en el fondo soberano de Noruega, las consultas previas de Nueva Zelanda, y la experiencia de Botsuana con los diamantes</w:t>
      </w:r>
    </w:p>
    <w:p>
      <w:pPr>
        <w:pStyle w:val="Heading3"/>
      </w:pPr>
      <w:bookmarkStart w:id="49" w:name="qué-es-4"/>
      <w:r>
        <w:t xml:space="preserve">Qué es</w:t>
      </w:r>
      <w:bookmarkEnd w:id="49"/>
    </w:p>
    <w:p>
      <w:pPr>
        <w:pStyle w:val="FirstParagraph"/>
      </w:pPr>
      <w:r>
        <w:t xml:space="preserve">Argentina tiene las terceras reservas de litio del mundo. La demanda global va a explotar con la transición a vehículos eléctricos. Esta política asegura que el litio argentino se extraiga con respeto ambiental, consentimiento de comunidades indígenas, procesamiento local (no exportar roca bruta), y un fondo soberano que convierta un recurso finito en prosperidad permanente.</w:t>
      </w:r>
    </w:p>
    <w:p>
      <w:pPr>
        <w:pStyle w:val="Heading3"/>
      </w:pPr>
      <w:bookmarkStart w:id="50" w:name="por-qué-esta-política-4"/>
      <w:r>
        <w:t xml:space="preserve">Por qué esta política</w:t>
      </w:r>
      <w:bookmarkEnd w:id="50"/>
    </w:p>
    <w:p>
      <w:pPr>
        <w:pStyle w:val="FirstParagraph"/>
      </w:pPr>
      <w:r>
        <w:rPr>
          <w:b/>
        </w:rPr>
        <w:t xml:space="preserve">Noruega</w:t>
      </w:r>
      <w:r>
        <w:t xml:space="preserve"> </w:t>
      </w:r>
      <w:r>
        <w:t xml:space="preserve">no exporta petróleo crudo — lo procesa, y con los ingresos creó el fondo soberano más grande del mundo (USD 1,5 billones). Cada noruego tiene USD 275.000 ahorrados para el futuro.</w:t>
      </w:r>
      <w:r>
        <w:t xml:space="preserve"> </w:t>
      </w:r>
      <w:r>
        <w:rPr>
          <w:b/>
        </w:rPr>
        <w:t xml:space="preserve">Botsuana</w:t>
      </w:r>
      <w:r>
        <w:t xml:space="preserve"> </w:t>
      </w:r>
      <w:r>
        <w:t xml:space="preserve">hizo lo mismo con los diamantes: creó un fondo y pasó de ser uno de los países más pobres de África a tener el PBI per cápita más alto del continente.</w:t>
      </w:r>
    </w:p>
    <w:p>
      <w:pPr>
        <w:pStyle w:val="BodyText"/>
      </w:pPr>
      <w:r>
        <w:t xml:space="preserve">Argentina exporta litio casi sin procesar. Las comunidades indígenas del NOA ven cómo se llevan su agua y su mineral sin recibir casi nada. Las regalías provinciales son irrisorias.</w:t>
      </w:r>
    </w:p>
    <w:p>
      <w:pPr>
        <w:pStyle w:val="Heading3"/>
      </w:pPr>
      <w:bookmarkStart w:id="51" w:name="diseño-para-argentina-4"/>
      <w:r>
        <w:t xml:space="preserve">Diseño para Argentina</w:t>
      </w:r>
      <w:bookmarkEnd w:id="51"/>
    </w:p>
    <w:p>
      <w:pPr>
        <w:pStyle w:val="FirstParagraph"/>
      </w:pPr>
      <w:r>
        <w:rPr>
          <w:b/>
        </w:rPr>
        <w:t xml:space="preserve">Componente 1 — Consentimiento Previo, Libre e Informado (CLPI):</w:t>
      </w:r>
      <w:r>
        <w:t xml:space="preserve"> </w:t>
      </w:r>
      <w:r>
        <w:t xml:space="preserve">- Ningún proyecto de litio avanza sin consulta real a comunidades indígenas (Convenio 169 OIT)</w:t>
      </w:r>
      <w:r>
        <w:t xml:space="preserve"> </w:t>
      </w:r>
      <w:r>
        <w:t xml:space="preserve">- Monitoreo ambiental independiente con participación comunitaria</w:t>
      </w:r>
      <w:r>
        <w:t xml:space="preserve"> </w:t>
      </w:r>
      <w:r>
        <w:t xml:space="preserve">- Veto comunitario vinculante para proyectos que afecten fuentes de agua</w:t>
      </w:r>
    </w:p>
    <w:p>
      <w:pPr>
        <w:pStyle w:val="BodyText"/>
      </w:pPr>
      <w:r>
        <w:rPr>
          <w:b/>
        </w:rPr>
        <w:t xml:space="preserve">Componente 2 — Industrialización Local:</w:t>
      </w:r>
      <w:r>
        <w:t xml:space="preserve"> </w:t>
      </w:r>
      <w:r>
        <w:t xml:space="preserve">- Prohibición de exportar carbonato de litio sin procesamiento (horizonte 5 años)</w:t>
      </w:r>
      <w:r>
        <w:t xml:space="preserve"> </w:t>
      </w:r>
      <w:r>
        <w:t xml:space="preserve">- Planta nacional de cátodos para baterías</w:t>
      </w:r>
      <w:r>
        <w:t xml:space="preserve"> </w:t>
      </w:r>
      <w:r>
        <w:t xml:space="preserve">- Meta: pasar de exportar roca a USD 8.000/ton a exportar componentes a USD 25.000/ton</w:t>
      </w:r>
    </w:p>
    <w:p>
      <w:pPr>
        <w:pStyle w:val="BodyText"/>
      </w:pPr>
      <w:r>
        <w:rPr>
          <w:b/>
        </w:rPr>
        <w:t xml:space="preserve">Componente 3 — Fondo Soberano del Litio:</w:t>
      </w:r>
      <w:r>
        <w:t xml:space="preserve"> </w:t>
      </w:r>
      <w:r>
        <w:t xml:space="preserve">- 30% de regalías e impuestos al litio van al Fondo</w:t>
      </w:r>
      <w:r>
        <w:t xml:space="preserve"> </w:t>
      </w:r>
      <w:r>
        <w:t xml:space="preserve">- Inversión en educación, salud e infraestructura de las comunidades del NOA</w:t>
      </w:r>
      <w:r>
        <w:t xml:space="preserve"> </w:t>
      </w:r>
      <w:r>
        <w:t xml:space="preserve">- Parte del fondo se invierte internacionalmente (modelo Noruega)</w:t>
      </w:r>
      <w:r>
        <w:t xml:space="preserve"> </w:t>
      </w:r>
      <w:r>
        <w:t xml:space="preserve">- Meta: USD 500M acumulados en el fondo al 2031</w:t>
      </w:r>
    </w:p>
    <w:p>
      <w:pPr>
        <w:pStyle w:val="BodyText"/>
      </w:pPr>
      <w:r>
        <w:rPr>
          <w:b/>
        </w:rPr>
        <w:t xml:space="preserve">Componente 4 — Remediación Ambiental:</w:t>
      </w:r>
      <w:r>
        <w:t xml:space="preserve"> </w:t>
      </w:r>
      <w:r>
        <w:t xml:space="preserve">- Toda empresa minera debe depositar garantía de remediación antes de operar</w:t>
      </w:r>
      <w:r>
        <w:t xml:space="preserve"> </w:t>
      </w:r>
      <w:r>
        <w:t xml:space="preserve">- Plan de restauración de cuencas hídricas afectadas</w:t>
      </w:r>
      <w:r>
        <w:t xml:space="preserve"> </w:t>
      </w:r>
      <w:r>
        <w:t xml:space="preserve">- Monitoreo hídrico permanente en acuíferos del NOA</w:t>
      </w:r>
    </w:p>
    <w:p>
      <w:pPr>
        <w:pStyle w:val="Heading3"/>
      </w:pPr>
      <w:bookmarkStart w:id="52" w:name="costeo-4"/>
      <w:r>
        <w:t xml:space="preserve">Costeo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(5 años)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Planta de procesamiento de cátodos</w:t>
            </w:r>
          </w:p>
        </w:tc>
        <w:tc>
          <w:p>
            <w:pPr>
              <w:pStyle w:val="Compact"/>
              <w:jc w:val="left"/>
            </w:pPr>
            <w:r>
              <w:t xml:space="preserve">USD 800M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Sistema de consulta y monitoreo comunitario</w:t>
            </w:r>
          </w:p>
        </w:tc>
        <w:tc>
          <w:p>
            <w:pPr>
              <w:pStyle w:val="Compact"/>
              <w:jc w:val="left"/>
            </w:pPr>
            <w:r>
              <w:t xml:space="preserve">USD 50M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Remediación ambiental</w:t>
            </w:r>
          </w:p>
        </w:tc>
        <w:tc>
          <w:p>
            <w:pPr>
              <w:pStyle w:val="Compact"/>
              <w:jc w:val="left"/>
            </w:pPr>
            <w:r>
              <w:t xml:space="preserve">USD 200M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Fondo Soberano (aporte inicial estatal)</w:t>
            </w:r>
          </w:p>
        </w:tc>
        <w:tc>
          <w:p>
            <w:pPr>
              <w:pStyle w:val="Compact"/>
              <w:jc w:val="left"/>
            </w:pPr>
            <w:r>
              <w:t xml:space="preserve">USD 100M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inversión pública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1.150M</w:t>
            </w:r>
          </w:p>
        </w:tc>
      </w:tr>
    </w:tbl>
    <w:p>
      <w:pPr>
        <w:pStyle w:val="Heading3"/>
      </w:pPr>
      <w:bookmarkStart w:id="53" w:name="financiamiento-3"/>
      <w:r>
        <w:t xml:space="preserve">Financiamiento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Inversión privada (planta de cátodos con PPP)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USD 575M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Regalías mineras redirigidas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USD 288M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Presupuesto nacional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USD 173M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Cooperación internacional (transición energética)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USD 115M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resumen-ambiente-y-adaptación-climática"/>
      <w:r>
        <w:t xml:space="preserve">Resumen: Ambiente y Adaptación Climática</w:t>
      </w:r>
      <w:bookmarkEnd w:id="54"/>
    </w:p>
    <w:tbl>
      <w:tblPr>
        <w:tblStyle w:val="Table"/>
        <w:tblW w:type="pct" w:w="5000.0"/>
        <w:tblLook w:firstRow="1"/>
      </w:tblPr>
      <w:tblGrid>
        <w:gridCol w:w="1650"/>
        <w:gridCol w:w="3135"/>
        <w:gridCol w:w="313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Política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Inversión 5 años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Impacto principal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Argentina Solar</w:t>
            </w:r>
          </w:p>
        </w:tc>
        <w:tc>
          <w:p>
            <w:pPr>
              <w:pStyle w:val="Compact"/>
              <w:jc w:val="left"/>
            </w:pPr>
            <w:r>
              <w:t xml:space="preserve">USD 6.000M</w:t>
            </w:r>
          </w:p>
        </w:tc>
        <w:tc>
          <w:p>
            <w:pPr>
              <w:pStyle w:val="Compact"/>
              <w:jc w:val="left"/>
            </w:pPr>
            <w:r>
              <w:t xml:space="preserve">6.000 MW nuevos, 50% renovable, 50K técnicos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Bosques en Pie</w:t>
            </w:r>
          </w:p>
        </w:tc>
        <w:tc>
          <w:p>
            <w:pPr>
              <w:pStyle w:val="Compact"/>
              <w:jc w:val="left"/>
            </w:pPr>
            <w:r>
              <w:t xml:space="preserve">USD 3.650M</w:t>
            </w:r>
          </w:p>
        </w:tc>
        <w:tc>
          <w:p>
            <w:pPr>
              <w:pStyle w:val="Compact"/>
              <w:jc w:val="left"/>
            </w:pPr>
            <w:r>
              <w:t xml:space="preserve">Deforestación cero, 1M ha restauradas, 50K empleos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Ciudades Esponja</w:t>
            </w:r>
          </w:p>
        </w:tc>
        <w:tc>
          <w:p>
            <w:pPr>
              <w:pStyle w:val="Compact"/>
              <w:jc w:val="left"/>
            </w:pPr>
            <w:r>
              <w:t xml:space="preserve">USD 1.800M</w:t>
            </w:r>
          </w:p>
        </w:tc>
        <w:tc>
          <w:p>
            <w:pPr>
              <w:pStyle w:val="Compact"/>
              <w:jc w:val="left"/>
            </w:pPr>
            <w:r>
              <w:t xml:space="preserve">500 barrios resilientes, 10M árboles, 50 parques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Agricultura Regenerativa</w:t>
            </w:r>
          </w:p>
        </w:tc>
        <w:tc>
          <w:p>
            <w:pPr>
              <w:pStyle w:val="Compact"/>
              <w:jc w:val="left"/>
            </w:pPr>
            <w:r>
              <w:t xml:space="preserve">USD 800M</w:t>
            </w:r>
          </w:p>
        </w:tc>
        <w:tc>
          <w:p>
            <w:pPr>
              <w:pStyle w:val="Compact"/>
              <w:jc w:val="left"/>
            </w:pPr>
            <w:r>
              <w:t xml:space="preserve">100K ha sin veneno, 500 huertas, 10K productores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Litio con Justicia</w:t>
            </w:r>
          </w:p>
        </w:tc>
        <w:tc>
          <w:p>
            <w:pPr>
              <w:pStyle w:val="Compact"/>
              <w:jc w:val="left"/>
            </w:pPr>
            <w:r>
              <w:t xml:space="preserve">USD 1.150M</w:t>
            </w:r>
          </w:p>
        </w:tc>
        <w:tc>
          <w:p>
            <w:pPr>
              <w:pStyle w:val="Compact"/>
              <w:jc w:val="left"/>
            </w:pPr>
            <w:r>
              <w:t xml:space="preserve">Industrialización, fondo soberano, derechos indígenas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USD 13.400M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Inversión total: USD 13.400 millones en 5 años</w:t>
      </w:r>
      <w:r>
        <w:t xml:space="preserve"> </w:t>
      </w:r>
      <w:r>
        <w:t xml:space="preserve">(0,4% del PBI anual).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El ambiente no es un lujo de países ricos — es la base de todo lo demás. Sin agua limpia no hay salud. Sin suelo fértil no hay alimento. Sin bosque no hay lluvia. Sin lluvia no hay Argentina.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Documento creado: Febrero 2026</w:t>
      </w:r>
      <w:r>
        <w:t xml:space="preserve"> </w:t>
      </w:r>
      <w:r>
        <w:rPr>
          <w:i/>
        </w:rPr>
        <w:t xml:space="preserve">Proyecto Argentina Próspera 2027-2031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2026-02-28T18:19:52Z</dcterms:created>
  <dcterms:modified xsi:type="dcterms:W3CDTF">2026-02-28T18:19:52Z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