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iscalidad-cómo-se-paga-todo-esto"/>
      <w:r>
        <w:t xml:space="preserve">Fiscalidad: Cómo se Paga Todo Esto</w:t>
      </w:r>
      <w:bookmarkEnd w:id="20"/>
    </w:p>
    <w:p>
      <w:pPr>
        <w:pStyle w:val="Heading2"/>
      </w:pPr>
      <w:bookmarkStart w:id="21" w:name="X68d907a91fe6e93f60d464644974354b6d49fda"/>
      <w:r>
        <w:t xml:space="preserve">Argentina Próspera 2027-2031 — Documento Sectorial 10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4ec830fa067ef43fdda764f54ceba8f7d1d3605"/>
      <w:r>
        <w:t xml:space="preserve">La pregunta que siempre falta: ¿de dónde sale la plata?</w:t>
      </w:r>
      <w:bookmarkEnd w:id="22"/>
    </w:p>
    <w:p>
      <w:pPr>
        <w:pStyle w:val="FirstParagraph"/>
      </w:pPr>
      <w:r>
        <w:t xml:space="preserve">Cada política de este proyecto tiene costeo detallado y fuentes de financiamiento específicas. Pero hace falta una visión de conjunto: ¿cuánto cuesta Argentina Próspera? ¿Cómo se financia? ¿Es realista?</w:t>
      </w:r>
    </w:p>
    <w:p>
      <w:pPr>
        <w:pStyle w:val="BodyText"/>
      </w:pPr>
      <w:r>
        <w:t xml:space="preserve">La respuesta corta:</w:t>
      </w:r>
      <w:r>
        <w:t xml:space="preserve"> </w:t>
      </w:r>
      <w:r>
        <w:rPr>
          <w:b/>
        </w:rPr>
        <w:t xml:space="preserve">sí, se puede pagar</w:t>
      </w:r>
      <w:r>
        <w:t xml:space="preserve"> </w:t>
      </w:r>
      <w:r>
        <w:t xml:space="preserve">— si se reforman las tres cosas que el sistema fiscal argentino hace peor: cobrar mal, gastar mal, y dejar que los que más tienen paguen menos.</w:t>
      </w:r>
    </w:p>
    <w:p>
      <w:pPr>
        <w:pStyle w:val="Heading2"/>
      </w:pPr>
      <w:bookmarkStart w:id="23" w:name="la-situación-hoy"/>
      <w:r>
        <w:t xml:space="preserve">La Situación Hoy</w:t>
      </w:r>
      <w:bookmarkEnd w:id="23"/>
    </w:p>
    <w:p>
      <w:pPr>
        <w:pStyle w:val="FirstParagraph"/>
      </w:pPr>
      <w:r>
        <w:t xml:space="preserve">Argentina tiene una presión tributaria que descendió a</w:t>
      </w:r>
      <w:r>
        <w:t xml:space="preserve"> </w:t>
      </w:r>
      <w:r>
        <w:rPr>
          <w:b/>
        </w:rPr>
        <w:t xml:space="preserve">21,3% del PBI</w:t>
      </w:r>
      <w:r>
        <w:t xml:space="preserve"> </w:t>
      </w:r>
      <w:r>
        <w:t xml:space="preserve">en 2025 — la menor en una década. El sistema es profundamente regresivo: el IVA (que pagan todos, ricos y pobres por igual) representa el 31% de la recaudación. Los impuestos a la riqueza y a las ganancias corporativas están llenos de excepciones y evasión.</w:t>
      </w:r>
    </w:p>
    <w:p>
      <w:pPr>
        <w:pStyle w:val="BodyText"/>
      </w:pPr>
      <w:r>
        <w:t xml:space="preserve">La evasión del IVA es del 40%. La economía informal (40% de los trabajadores) no contribuye al sistema. Los subsidios energéticos cuestan USD 4.800 millones/año y benefician más a los ricos que a los pobres. La deuda con el FMI es de USD 57.100 millones con vencimientos apretados.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cuánto-cuesta-argentina-próspera"/>
      <w:r>
        <w:t xml:space="preserve">Cuánto cuesta Argentina Próspera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Inversión 5 años (USD 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Vivienda (Doc 03)</w:t>
            </w:r>
          </w:p>
        </w:tc>
        <w:tc>
          <w:p>
            <w:pPr>
              <w:pStyle w:val="Compact"/>
              <w:jc w:val="left"/>
            </w:pPr>
            <w:r>
              <w:t xml:space="preserve">10.895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Salud (Doc 04 + 04a)</w:t>
            </w:r>
          </w:p>
        </w:tc>
        <w:tc>
          <w:p>
            <w:pPr>
              <w:pStyle w:val="Compact"/>
              <w:jc w:val="left"/>
            </w:pPr>
            <w:r>
              <w:t xml:space="preserve">4.677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Educación (Doc 05)</w:t>
            </w:r>
          </w:p>
        </w:tc>
        <w:tc>
          <w:p>
            <w:pPr>
              <w:pStyle w:val="Compact"/>
              <w:jc w:val="left"/>
            </w:pPr>
            <w:r>
              <w:t xml:space="preserve">10.800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Trabajo y Economía (Doc 06)</w:t>
            </w:r>
          </w:p>
        </w:tc>
        <w:tc>
          <w:p>
            <w:pPr>
              <w:pStyle w:val="Compact"/>
              <w:jc w:val="left"/>
            </w:pPr>
            <w:r>
              <w:t xml:space="preserve">29.275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Ambiente (Doc 07)</w:t>
            </w:r>
          </w:p>
        </w:tc>
        <w:tc>
          <w:p>
            <w:pPr>
              <w:pStyle w:val="Compact"/>
              <w:jc w:val="left"/>
            </w:pPr>
            <w:r>
              <w:t xml:space="preserve">13.400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Seguridad (Doc 08)</w:t>
            </w:r>
          </w:p>
        </w:tc>
        <w:tc>
          <w:p>
            <w:pPr>
              <w:pStyle w:val="Compact"/>
              <w:jc w:val="left"/>
            </w:pPr>
            <w:r>
              <w:t xml:space="preserve">3.525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Gobierno (Doc 09)</w:t>
            </w:r>
          </w:p>
        </w:tc>
        <w:tc>
          <w:p>
            <w:pPr>
              <w:pStyle w:val="Compact"/>
              <w:jc w:val="left"/>
            </w:pPr>
            <w:r>
              <w:t xml:space="preserve">4.050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Argentina en el Mundo (Doc 11)</w:t>
            </w:r>
          </w:p>
        </w:tc>
        <w:tc>
          <w:p>
            <w:pPr>
              <w:pStyle w:val="Compact"/>
              <w:jc w:val="left"/>
            </w:pPr>
            <w:r>
              <w:t xml:space="preserve">2.500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Comunidad y Cultura (Doc 12)</w:t>
            </w:r>
          </w:p>
        </w:tc>
        <w:tc>
          <w:p>
            <w:pPr>
              <w:pStyle w:val="Compact"/>
              <w:jc w:val="left"/>
            </w:pPr>
            <w:r>
              <w:t xml:space="preserve">3.000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~82.000</w:t>
            </w:r>
          </w:p>
        </w:tc>
      </w:tr>
    </w:tbl>
    <w:p>
      <w:pPr>
        <w:pStyle w:val="BodyText"/>
      </w:pPr>
      <w:r>
        <w:rPr>
          <w:b/>
        </w:rPr>
        <w:t xml:space="preserve">USD 82.000 millones en 5 años = USD 16.400 millones/año = ~2,5% del PBI anual.</w:t>
      </w:r>
    </w:p>
    <w:p>
      <w:pPr>
        <w:pStyle w:val="BodyText"/>
      </w:pPr>
      <w:r>
        <w:t xml:space="preserve">Parece mucho. Pero Argentina ya gasta más del 40% de su PBI a través del Estado. La pregunta no es si se gasta, sino en qué. Este plan propone redirigir prioridades y agregar ingresos nuevos.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cinco-instrumentos-fiscales"/>
      <w:r>
        <w:t xml:space="preserve">Cinco Instrumentos Fiscales</w:t>
      </w:r>
      <w:bookmarkEnd w:id="25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004c26490635475cb05e1c34cc4eff3af6038da"/>
      <w:r>
        <w:t xml:space="preserve">Instrumento 1: Impuesto Permanente a Grandes Patrimonios</w:t>
      </w:r>
      <w:bookmarkEnd w:id="26"/>
    </w:p>
    <w:p>
      <w:pPr>
        <w:pStyle w:val="FirstParagraph"/>
      </w:pPr>
      <w:r>
        <w:t xml:space="preserve">No el impuesto</w:t>
      </w:r>
      <w:r>
        <w:t xml:space="preserve"> </w:t>
      </w:r>
      <w:r>
        <w:t xml:space="preserve">“</w:t>
      </w:r>
      <w:r>
        <w:t xml:space="preserve">por única vez</w:t>
      </w:r>
      <w:r>
        <w:t xml:space="preserve">”</w:t>
      </w:r>
      <w:r>
        <w:t xml:space="preserve"> </w:t>
      </w:r>
      <w:r>
        <w:t xml:space="preserve">de 2020. Uno permanente, bien diseñado, con control efectivo.</w:t>
      </w:r>
    </w:p>
    <w:p>
      <w:pPr>
        <w:pStyle w:val="BodyText"/>
      </w:pPr>
      <w:r>
        <w:rPr>
          <w:b/>
        </w:rPr>
        <w:t xml:space="preserve">Diseño:</w:t>
      </w:r>
      <w:r>
        <w:t xml:space="preserve"> </w:t>
      </w:r>
      <w:r>
        <w:t xml:space="preserve">- Aplica a patrimonios netos superiores a USD 5 millones</w:t>
      </w:r>
      <w:r>
        <w:t xml:space="preserve"> </w:t>
      </w:r>
      <w:r>
        <w:t xml:space="preserve">- Tasa progresiva: 0,5% (USD 5-10M), 1% (USD 10-50M), 1,5% (USD 50-100M), 2% (&gt;USD 100M)</w:t>
      </w:r>
      <w:r>
        <w:t xml:space="preserve"> </w:t>
      </w:r>
      <w:r>
        <w:t xml:space="preserve">- Incluye activos en el exterior (con intercambio de información OCDE/BEPS)</w:t>
      </w:r>
      <w:r>
        <w:t xml:space="preserve"> </w:t>
      </w:r>
      <w:r>
        <w:t xml:space="preserve">- Modelo: Suiza (recauda €9.500M/año con tasas similares), Noruega</w:t>
      </w:r>
    </w:p>
    <w:p>
      <w:pPr>
        <w:pStyle w:val="BodyText"/>
      </w:pPr>
      <w:r>
        <w:rPr>
          <w:b/>
        </w:rPr>
        <w:t xml:space="preserve">Recaudación estimada:</w:t>
      </w:r>
      <w:r>
        <w:t xml:space="preserve"> </w:t>
      </w:r>
      <w:r>
        <w:t xml:space="preserve">USD 2.000-3.000M/año</w:t>
      </w:r>
    </w:p>
    <w:p>
      <w:pPr>
        <w:pStyle w:val="BodyText"/>
      </w:pPr>
      <w:r>
        <w:rPr>
          <w:b/>
        </w:rPr>
        <w:t xml:space="preserve">Riesgos y mitigación:</w:t>
      </w:r>
      <w:r>
        <w:t xml:space="preserve"> </w:t>
      </w:r>
      <w:r>
        <w:t xml:space="preserve">Noruega sufrió fuga de capitales de €4.000M tras su impuesto. Mitigación: (a) tasas menores que Noruega, (b) acuerdo con OCDE para impuesto mínimo global, (c) incentivos fiscales para reinversión productiva en Argentina.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15730080112c9191282e3d3408089f1d4ea311e"/>
      <w:r>
        <w:t xml:space="preserve">Instrumento 2: Reducción de Evasión Fiscal (IVA + Ganancias)</w:t>
      </w:r>
      <w:bookmarkEnd w:id="27"/>
    </w:p>
    <w:p>
      <w:pPr>
        <w:pStyle w:val="FirstParagraph"/>
      </w:pPr>
      <w:r>
        <w:t xml:space="preserve">Más que crear impuestos nuevos, cobrar los que existen.</w:t>
      </w:r>
    </w:p>
    <w:p>
      <w:pPr>
        <w:pStyle w:val="BodyText"/>
      </w:pPr>
      <w:r>
        <w:rPr>
          <w:b/>
        </w:rPr>
        <w:t xml:space="preserve">Diseño:</w:t>
      </w:r>
      <w:r>
        <w:t xml:space="preserve"> </w:t>
      </w:r>
      <w:r>
        <w:t xml:space="preserve">- Modernización tecnológica de AFIP: IA para cruce de datos, facturación electrónica universal, trazabilidad de operaciones</w:t>
      </w:r>
      <w:r>
        <w:t xml:space="preserve"> </w:t>
      </w:r>
      <w:r>
        <w:t xml:space="preserve">- Factura electrónica obligatoria para toda transacción (incluyendo comercio informal — modelo Brasil)</w:t>
      </w:r>
      <w:r>
        <w:t xml:space="preserve"> </w:t>
      </w:r>
      <w:r>
        <w:t xml:space="preserve">- Intercambio automático de información bancaria (estándar OCDE CRS)</w:t>
      </w:r>
      <w:r>
        <w:t xml:space="preserve"> </w:t>
      </w:r>
      <w:r>
        <w:t xml:space="preserve">- Programa de incentivos: devolución del 10% del IVA para sectores vulnerables (modelo fiscal electrónico)</w:t>
      </w:r>
    </w:p>
    <w:p>
      <w:pPr>
        <w:pStyle w:val="BodyText"/>
      </w:pPr>
      <w:r>
        <w:rPr>
          <w:b/>
        </w:rPr>
        <w:t xml:space="preserve">Inversión en AFIP:</w:t>
      </w:r>
      <w:r>
        <w:t xml:space="preserve"> </w:t>
      </w:r>
      <w:r>
        <w:t xml:space="preserve">USD 500M en 5 años (tecnología, personal, capacitación)</w:t>
      </w:r>
      <w:r>
        <w:t xml:space="preserve"> </w:t>
      </w:r>
      <w:r>
        <w:rPr>
          <w:b/>
        </w:rPr>
        <w:t xml:space="preserve">Recaudación adicional estimada:</w:t>
      </w:r>
      <w:r>
        <w:t xml:space="preserve"> </w:t>
      </w:r>
      <w:r>
        <w:t xml:space="preserve">USD 2.000-4.000M/año (reducción de evasión IVA del 40% al 25%)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2f1af5e51be8c28ee5b87e8aa4b2109415b3b12"/>
      <w:r>
        <w:t xml:space="preserve">Instrumento 3: Impuesto al Carbono (Carbon Tax)</w:t>
      </w:r>
      <w:bookmarkEnd w:id="28"/>
    </w:p>
    <w:p>
      <w:pPr>
        <w:pStyle w:val="FirstParagraph"/>
      </w:pPr>
      <w:r>
        <w:t xml:space="preserve">Un impuesto a las emisiones de CO₂ que encarece contaminar y abarata lo limpio.</w:t>
      </w:r>
    </w:p>
    <w:p>
      <w:pPr>
        <w:pStyle w:val="BodyText"/>
      </w:pPr>
      <w:r>
        <w:rPr>
          <w:b/>
        </w:rPr>
        <w:t xml:space="preserve">Modelo internacional:</w:t>
      </w:r>
      <w:r>
        <w:t xml:space="preserve"> </w:t>
      </w:r>
      <w:r>
        <w:t xml:space="preserve">Suecia cobra €130/tonelada de CO₂ — el más alto del mundo. Resultado: redujo emisiones un 27% mientras la economía creció un 80%. Colombia tiene un impuesto al carbono más modesto que recauda 425.000 millones de pesos/año.</w:t>
      </w:r>
    </w:p>
    <w:p>
      <w:pPr>
        <w:pStyle w:val="BodyText"/>
      </w:pPr>
      <w:r>
        <w:rPr>
          <w:b/>
        </w:rPr>
        <w:t xml:space="preserve">Diseño para Argentina:</w:t>
      </w:r>
      <w:r>
        <w:t xml:space="preserve"> </w:t>
      </w:r>
      <w:r>
        <w:t xml:space="preserve">- Tasa inicial: USD 15/tonelada CO₂ (año 1), creciendo a USD 30/ton (año 5)</w:t>
      </w:r>
      <w:r>
        <w:t xml:space="preserve"> </w:t>
      </w:r>
      <w:r>
        <w:t xml:space="preserve">- Aplica a: combustibles fósiles, grandes emisores industriales, generación eléctrica no renovable</w:t>
      </w:r>
      <w:r>
        <w:t xml:space="preserve"> </w:t>
      </w:r>
      <w:r>
        <w:t xml:space="preserve">- Compensación: el 50% de lo recaudado se devuelve como transferencia directa a los hogares más pobres (evita regresividad)</w:t>
      </w:r>
      <w:r>
        <w:t xml:space="preserve"> </w:t>
      </w:r>
      <w:r>
        <w:t xml:space="preserve">- El otro 50% financia transición energética y adaptación climática</w:t>
      </w:r>
    </w:p>
    <w:p>
      <w:pPr>
        <w:pStyle w:val="BodyText"/>
      </w:pPr>
      <w:r>
        <w:rPr>
          <w:b/>
        </w:rPr>
        <w:t xml:space="preserve">Recaudación estimada:</w:t>
      </w:r>
      <w:r>
        <w:t xml:space="preserve"> </w:t>
      </w:r>
      <w:r>
        <w:t xml:space="preserve">USD 500M-1.500M/año (dependiendo del nivel de tasa)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a84e901a26739646cdedff0fda4efef0406265d"/>
      <w:r>
        <w:t xml:space="preserve">Instrumento 4: Eliminación de Subsidios Regresivos y Redireccionamiento</w:t>
      </w:r>
      <w:bookmarkEnd w:id="29"/>
    </w:p>
    <w:p>
      <w:pPr>
        <w:pStyle w:val="FirstParagraph"/>
      </w:pPr>
      <w:r>
        <w:t xml:space="preserve">Argentina gasta USD 4.800M/año en subsidios energéticos. Una parte significativa va a hogares de altos ingresos.</w:t>
      </w:r>
    </w:p>
    <w:p>
      <w:pPr>
        <w:pStyle w:val="BodyText"/>
      </w:pPr>
      <w:r>
        <w:rPr>
          <w:b/>
        </w:rPr>
        <w:t xml:space="preserve">Diseño:</w:t>
      </w:r>
      <w:r>
        <w:t xml:space="preserve"> </w:t>
      </w:r>
      <w:r>
        <w:t xml:space="preserve">- Eliminación total de subsidios a energía para el 20% más rico</w:t>
      </w:r>
      <w:r>
        <w:t xml:space="preserve"> </w:t>
      </w:r>
      <w:r>
        <w:t xml:space="preserve">- Mantenimiento de tarifa social para el 40% más pobre</w:t>
      </w:r>
      <w:r>
        <w:t xml:space="preserve"> </w:t>
      </w:r>
      <w:r>
        <w:t xml:space="preserve">- Tarifa intermedia para clase media con transición gradual</w:t>
      </w:r>
      <w:r>
        <w:t xml:space="preserve"> </w:t>
      </w:r>
      <w:r>
        <w:t xml:space="preserve">- Redireccionamiento del ahorro a políticas de este plan</w:t>
      </w:r>
    </w:p>
    <w:p>
      <w:pPr>
        <w:pStyle w:val="BodyText"/>
      </w:pPr>
      <w:r>
        <w:rPr>
          <w:b/>
        </w:rPr>
        <w:t xml:space="preserve">Ahorro estimado:</w:t>
      </w:r>
      <w:r>
        <w:t xml:space="preserve"> </w:t>
      </w:r>
      <w:r>
        <w:t xml:space="preserve">USD 2.000-3.000M/año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9641486147e58c2c28468043a9df885d8546415"/>
      <w:r>
        <w:t xml:space="preserve">Instrumento 5: Captura de Valor del Suelo y Financiamiento Innovador</w:t>
      </w:r>
      <w:bookmarkEnd w:id="30"/>
    </w:p>
    <w:p>
      <w:pPr>
        <w:pStyle w:val="FirstParagraph"/>
      </w:pPr>
      <w:r>
        <w:t xml:space="preserve">Cuando el Estado invierte en infraestructura (subte, parque, hospital), el valor de la tierra alrededor sube. Hoy ese beneficio lo capturan los propietarios; este instrumento lo redistribuye.</w:t>
      </w:r>
    </w:p>
    <w:p>
      <w:pPr>
        <w:pStyle w:val="BodyText"/>
      </w:pPr>
      <w:r>
        <w:rPr>
          <w:b/>
        </w:rPr>
        <w:t xml:space="preserve">Diseño:</w:t>
      </w:r>
      <w:r>
        <w:t xml:space="preserve"> </w:t>
      </w:r>
      <w:r>
        <w:t xml:space="preserve">- Contribución por mejoras: cuando una obra pública sube el valor de una propiedad, el propietario paga una fracción de esa valorización</w:t>
      </w:r>
      <w:r>
        <w:t xml:space="preserve"> </w:t>
      </w:r>
      <w:r>
        <w:t xml:space="preserve">- Bonos verdes soberanos: emisión para financiar infraestructura ambiental</w:t>
      </w:r>
      <w:r>
        <w:t xml:space="preserve"> </w:t>
      </w:r>
      <w:r>
        <w:t xml:space="preserve">- Bonos de impacto social: inversores privados financian programas sociales y cobran si se cumplen las metas</w:t>
      </w:r>
    </w:p>
    <w:p>
      <w:pPr>
        <w:pStyle w:val="BodyText"/>
      </w:pPr>
      <w:r>
        <w:rPr>
          <w:b/>
        </w:rPr>
        <w:t xml:space="preserve">Recaudación/financiamiento estimado:</w:t>
      </w:r>
      <w:r>
        <w:t xml:space="preserve"> </w:t>
      </w:r>
      <w:r>
        <w:t xml:space="preserve">USD 1.000-3.000M/año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balance-fiscal-de-argentina-próspera"/>
      <w:r>
        <w:t xml:space="preserve">Balance Fiscal de Argentina Próspera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Monto anual (USD M)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Gasto nuevo requerido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16.400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Impuesto a patrimonios</w:t>
            </w:r>
          </w:p>
        </w:tc>
        <w:tc>
          <w:p>
            <w:pPr>
              <w:pStyle w:val="Compact"/>
              <w:jc w:val="left"/>
            </w:pPr>
            <w:r>
              <w:t xml:space="preserve">2.500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Reducción de evasión</w:t>
            </w:r>
          </w:p>
        </w:tc>
        <w:tc>
          <w:p>
            <w:pPr>
              <w:pStyle w:val="Compact"/>
              <w:jc w:val="left"/>
            </w:pPr>
            <w:r>
              <w:t xml:space="preserve">3.000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Carbon tax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Eliminación subsidios regresivos</w:t>
            </w:r>
          </w:p>
        </w:tc>
        <w:tc>
          <w:p>
            <w:pPr>
              <w:pStyle w:val="Compact"/>
              <w:jc w:val="left"/>
            </w:pPr>
            <w:r>
              <w:t xml:space="preserve">2.500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Captura valor + bonos</w:t>
            </w:r>
          </w:p>
        </w:tc>
        <w:tc>
          <w:p>
            <w:pPr>
              <w:pStyle w:val="Compact"/>
              <w:jc w:val="left"/>
            </w:pPr>
            <w:r>
              <w:t xml:space="preserve">2.000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Subtotal ingresos nuevos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11.000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Redireccionamiento de gasto existente</w:t>
            </w:r>
          </w:p>
        </w:tc>
        <w:tc>
          <w:p>
            <w:pPr>
              <w:pStyle w:val="Compact"/>
              <w:jc w:val="left"/>
            </w:pPr>
            <w:r>
              <w:t xml:space="preserve">3.000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Organismos multilaterales (préstamos blandos)</w:t>
            </w:r>
          </w:p>
        </w:tc>
        <w:tc>
          <w:p>
            <w:pPr>
              <w:pStyle w:val="Compact"/>
              <w:jc w:val="left"/>
            </w:pPr>
            <w:r>
              <w:t xml:space="preserve">2.000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Financiamiento privado (PPP + cooperación)</w:t>
            </w:r>
          </w:p>
        </w:tc>
        <w:tc>
          <w:p>
            <w:pPr>
              <w:pStyle w:val="Compact"/>
              <w:jc w:val="left"/>
            </w:pPr>
            <w:r>
              <w:t xml:space="preserve">2.000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financiamiento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18.000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Balance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+1.600 (superávit)</w:t>
            </w:r>
          </w:p>
        </w:tc>
      </w:tr>
    </w:tbl>
    <w:p>
      <w:pPr>
        <w:pStyle w:val="BodyText"/>
      </w:pPr>
      <w:r>
        <w:rPr>
          <w:b/>
        </w:rPr>
        <w:t xml:space="preserve">El plan no solo se paga — genera superávit.</w:t>
      </w:r>
      <w:r>
        <w:t xml:space="preserve"> </w:t>
      </w:r>
      <w:r>
        <w:t xml:space="preserve">Esto es posible porque la mayor parte del financiamiento no son impuestos nuevos sino: (a) cobrar lo que ya se debe, (b) dejar de subsidiar a los ricos, y (c) atraer inversión internacional que hoy no viene porque no hay proyectos claros.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por-qué-es-creíble"/>
      <w:r>
        <w:t xml:space="preserve">Por qué es creíble</w:t>
      </w:r>
      <w:bookmarkEnd w:id="3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Suecia</w:t>
      </w:r>
      <w:r>
        <w:t xml:space="preserve"> </w:t>
      </w:r>
      <w:r>
        <w:t xml:space="preserve">tiene carbon tax desde 1991 y su economía creció 80% desde entonces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Suiza</w:t>
      </w:r>
      <w:r>
        <w:t xml:space="preserve"> </w:t>
      </w:r>
      <w:r>
        <w:t xml:space="preserve">cobra impuesto a la riqueza sin destruir su economía (sigue siendo uno de los países más ricos del mundo)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Brasil</w:t>
      </w:r>
      <w:r>
        <w:t xml:space="preserve"> </w:t>
      </w:r>
      <w:r>
        <w:t xml:space="preserve">redujo su evasión fiscal un 30% con facturación electrónica universal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Estonia</w:t>
      </w:r>
      <w:r>
        <w:t xml:space="preserve"> </w:t>
      </w:r>
      <w:r>
        <w:t xml:space="preserve">tiene la administración tributaria más eficiente del mundo — 99% digital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El impuesto mínimo global del 15%</w:t>
      </w:r>
      <w:r>
        <w:t xml:space="preserve"> </w:t>
      </w:r>
      <w:r>
        <w:t xml:space="preserve">(OCDE) está reduciendo la competencia por el</w:t>
      </w:r>
      <w:r>
        <w:t xml:space="preserve"> </w:t>
      </w:r>
      <w:r>
        <w:t xml:space="preserve">“</w:t>
      </w:r>
      <w:r>
        <w:t xml:space="preserve">fondo</w:t>
      </w:r>
      <w:r>
        <w:t xml:space="preserve">”</w:t>
      </w:r>
      <w:r>
        <w:t xml:space="preserve"> </w:t>
      </w:r>
      <w:r>
        <w:t xml:space="preserve">entre países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Los bonos verdes</w:t>
      </w:r>
      <w:r>
        <w:t xml:space="preserve"> </w:t>
      </w:r>
      <w:r>
        <w:t xml:space="preserve">son el instrumento de deuda de más rápido crecimiento en el mundo</w:t>
      </w:r>
    </w:p>
    <w:p>
      <w:pPr>
        <w:pStyle w:val="FirstParagraph"/>
      </w:pPr>
      <w:r>
        <w:t xml:space="preserve">La reforma fiscal no es ideología — es aritmética. Argentina tiene los recursos para financiar un país justo. Lo que falta es voluntad política para cobrarle a quien puede y dejar de regalar a quien no necesita.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Documento creado: Febrero 2026</w:t>
      </w:r>
      <w:r>
        <w:t xml:space="preserve"> </w:t>
      </w:r>
      <w:r>
        <w:rPr>
          <w:i/>
        </w:rPr>
        <w:t xml:space="preserve">Proyecto Argentina Próspera 2027-2031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2026-02-28T18:25:20Z</dcterms:created>
  <dcterms:modified xsi:type="dcterms:W3CDTF">2026-02-28T18:25:20Z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