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rgentina-en-el-mundo"/>
      <w:r>
        <w:t xml:space="preserve">Argentina en el Mundo</w:t>
      </w:r>
      <w:bookmarkEnd w:id="20"/>
    </w:p>
    <w:p>
      <w:pPr>
        <w:pStyle w:val="Heading2"/>
      </w:pPr>
      <w:bookmarkStart w:id="21" w:name="Xc7000ad4b10d04f15a61246bb6e813763686217"/>
      <w:r>
        <w:t xml:space="preserve">Argentina Próspera 2027-2031 — Documento Sectorial 11</w:t>
      </w:r>
      <w:bookmarkEnd w:id="21"/>
    </w:p>
    <w:p>
      <w:r>
        <w:pict>
          <v:rect style="width:0;height:1.5pt" o:hralign="center" o:hrstd="t" o:hr="t"/>
        </w:pict>
      </w:r>
    </w:p>
    <w:p>
      <w:pPr>
        <w:pStyle w:val="Heading2"/>
      </w:pPr>
      <w:bookmarkStart w:id="22" w:name="la-situación-hoy-un-gigante-dormido"/>
      <w:r>
        <w:t xml:space="preserve">La Situación Hoy: un gigante dormido</w:t>
      </w:r>
      <w:bookmarkEnd w:id="22"/>
    </w:p>
    <w:p>
      <w:pPr>
        <w:pStyle w:val="FirstParagraph"/>
      </w:pPr>
      <w:r>
        <w:t xml:space="preserve">Argentina es el 8° país más grande del mundo, tiene los campos más fértiles del hemisferio sur, la 2° reserva de gas no convencional del planeta (Vaca Muerta), la 3° reserva de litio del mundo, produce alimento para 400 millones de personas, exporta USD 79.700 millones/año con superávit récord de USD 18.900 millones, tiene 11 unicornios tecnológicos, y generaciones de inmigrantes europeos le dieron una diversidad cultural única en Latinoamérica.</w:t>
      </w:r>
    </w:p>
    <w:p>
      <w:pPr>
        <w:pStyle w:val="BodyText"/>
      </w:pPr>
      <w:r>
        <w:t xml:space="preserve">Y sin embargo, Argentina es irrelevante en la geopolítica global. No tiene asiento en ninguna mesa de decisión. Oscila entre alianzas incoherentes. Debe USD 57.000 millones al FMI. Su moneda pierde valor cada año. Sus mejores científicos, programadores y emprendedores emigran.</w:t>
      </w:r>
    </w:p>
    <w:p>
      <w:pPr>
        <w:pStyle w:val="BodyText"/>
      </w:pPr>
      <w:r>
        <w:t xml:space="preserve">La pregunta no es si Argentina tiene activos para ser relevante — los tiene de sobra. La pregunta es si puede convertirlos en influencia, prosperidad y dignidad para su gente.</w:t>
      </w:r>
    </w:p>
    <w:p>
      <w:r>
        <w:pict>
          <v:rect style="width:0;height:1.5pt" o:hralign="center" o:hrstd="t" o:hr="t"/>
        </w:pict>
      </w:r>
    </w:p>
    <w:p>
      <w:pPr>
        <w:pStyle w:val="Heading2"/>
      </w:pPr>
      <w:bookmarkStart w:id="23" w:name="X4c852953e0d205ec224f3c39ca0a8bb5801c16f"/>
      <w:r>
        <w:t xml:space="preserve">Cinco Políticas para un Argentina Relevante</w:t>
      </w:r>
      <w:bookmarkEnd w:id="23"/>
    </w:p>
    <w:p>
      <w:r>
        <w:pict>
          <v:rect style="width:0;height:1.5pt" o:hralign="center" o:hrstd="t" o:hr="t"/>
        </w:pict>
      </w:r>
    </w:p>
    <w:p>
      <w:pPr>
        <w:pStyle w:val="Heading2"/>
      </w:pPr>
      <w:bookmarkStart w:id="24" w:name="Xdf9d13c3a20ad277bf17b01ef76d09d7536c01b"/>
      <w:r>
        <w:t xml:space="preserve">Política 1: Potencia Alimentaria Responsable</w:t>
      </w:r>
      <w:bookmarkEnd w:id="24"/>
    </w:p>
    <w:p>
      <w:pPr>
        <w:pStyle w:val="FirstParagraph"/>
      </w:pPr>
      <w:r>
        <w:rPr>
          <w:i/>
        </w:rPr>
        <w:t xml:space="preserve">Inspirada en Nueva Zelanda (marca país, trazabilidad), Dinamarca (agricultura sostenible), y la posición estratégica de Argentina</w:t>
      </w:r>
    </w:p>
    <w:p>
      <w:pPr>
        <w:pStyle w:val="Heading3"/>
      </w:pPr>
      <w:bookmarkStart w:id="25" w:name="qué-es"/>
      <w:r>
        <w:t xml:space="preserve">Qué es</w:t>
      </w:r>
      <w:bookmarkEnd w:id="25"/>
    </w:p>
    <w:p>
      <w:pPr>
        <w:pStyle w:val="FirstParagraph"/>
      </w:pPr>
      <w:r>
        <w:t xml:space="preserve">Transformar la identidad exportadora argentina de</w:t>
      </w:r>
      <w:r>
        <w:t xml:space="preserve"> </w:t>
      </w:r>
      <w:r>
        <w:t xml:space="preserve">“</w:t>
      </w:r>
      <w:r>
        <w:t xml:space="preserve">granero del mundo</w:t>
      </w:r>
      <w:r>
        <w:t xml:space="preserve">”</w:t>
      </w:r>
      <w:r>
        <w:t xml:space="preserve"> </w:t>
      </w:r>
      <w:r>
        <w:t xml:space="preserve">(commodities baratos) a</w:t>
      </w:r>
      <w:r>
        <w:t xml:space="preserve"> </w:t>
      </w:r>
      <w:r>
        <w:t xml:space="preserve">“</w:t>
      </w:r>
      <w:r>
        <w:t xml:space="preserve">mesa del mundo</w:t>
      </w:r>
      <w:r>
        <w:t xml:space="preserve">”</w:t>
      </w:r>
      <w:r>
        <w:t xml:space="preserve"> </w:t>
      </w:r>
      <w:r>
        <w:t xml:space="preserve">(alimentos de calidad, trazables, sustentables, con valor agregado).</w:t>
      </w:r>
    </w:p>
    <w:p>
      <w:pPr>
        <w:pStyle w:val="BodyText"/>
      </w:pPr>
      <w:r>
        <w:t xml:space="preserve">El cambio climático está reconfigurando la geografía agrícola global. Zonas que producían van a dejar de hacerlo. Argentina, con agua, tierra y sol, va a ser más importante — no menos — como productora de alimentos. Pero exportar soja en bruto a USD 350/tonelada es muy diferente a exportar aceite de soja premium trazable a USD 1.200/ton.</w:t>
      </w:r>
    </w:p>
    <w:p>
      <w:pPr>
        <w:pStyle w:val="Heading3"/>
      </w:pPr>
      <w:bookmarkStart w:id="26" w:name="diseño"/>
      <w:r>
        <w:t xml:space="preserve">Diseño</w:t>
      </w:r>
      <w:bookmarkEnd w:id="26"/>
    </w:p>
    <w:p>
      <w:pPr>
        <w:numPr>
          <w:ilvl w:val="0"/>
          <w:numId w:val="1001"/>
        </w:numPr>
        <w:pStyle w:val="Compact"/>
      </w:pPr>
      <w:r>
        <w:rPr>
          <w:b/>
        </w:rPr>
        <w:t xml:space="preserve">Marca Argentina Alimentaria</w:t>
      </w:r>
      <w:r>
        <w:t xml:space="preserve">: certificación de origen + sustentabilidad + trazabilidad blockchain</w:t>
      </w:r>
    </w:p>
    <w:p>
      <w:pPr>
        <w:numPr>
          <w:ilvl w:val="0"/>
          <w:numId w:val="1001"/>
        </w:numPr>
        <w:pStyle w:val="Compact"/>
      </w:pPr>
      <w:r>
        <w:rPr>
          <w:b/>
        </w:rPr>
        <w:t xml:space="preserve">Industrialización de exportaciones</w:t>
      </w:r>
      <w:r>
        <w:t xml:space="preserve">: incentivos para exportar procesado, no crudo (aceites, harinas, productos listos)</w:t>
      </w:r>
    </w:p>
    <w:p>
      <w:pPr>
        <w:numPr>
          <w:ilvl w:val="0"/>
          <w:numId w:val="1001"/>
        </w:numPr>
        <w:pStyle w:val="Compact"/>
      </w:pPr>
      <w:r>
        <w:rPr>
          <w:b/>
        </w:rPr>
        <w:t xml:space="preserve">Diplomacia alimentaria</w:t>
      </w:r>
      <w:r>
        <w:t xml:space="preserve">: Argentina como líder en seguridad alimentaria global (acuerdos con países deficitarios)</w:t>
      </w:r>
    </w:p>
    <w:p>
      <w:pPr>
        <w:numPr>
          <w:ilvl w:val="0"/>
          <w:numId w:val="1001"/>
        </w:numPr>
        <w:pStyle w:val="Compact"/>
      </w:pPr>
      <w:r>
        <w:rPr>
          <w:b/>
        </w:rPr>
        <w:t xml:space="preserve">Agricultura regenerativa para exportación</w:t>
      </w:r>
      <w:r>
        <w:t xml:space="preserve">: premium por productos sin agroquímicos (vinculada con Política 07)</w:t>
      </w:r>
    </w:p>
    <w:p>
      <w:pPr>
        <w:pStyle w:val="Heading3"/>
      </w:pPr>
      <w:bookmarkStart w:id="27" w:name="X346ba49548e091fd07fea85ecc9ebef6d284e13"/>
      <w:r>
        <w:t xml:space="preserve">Costeo: USD 500M en 5 años (marca + incentivos + diplomacia)</w:t>
      </w:r>
      <w:bookmarkEnd w:id="27"/>
    </w:p>
    <w:p>
      <w:r>
        <w:pict>
          <v:rect style="width:0;height:1.5pt" o:hralign="center" o:hrstd="t" o:hr="t"/>
        </w:pict>
      </w:r>
    </w:p>
    <w:p>
      <w:pPr>
        <w:pStyle w:val="Heading2"/>
      </w:pPr>
      <w:bookmarkStart w:id="28" w:name="Xfdf87ba9240ec51d634995c87a10d0b54993d4d"/>
      <w:r>
        <w:t xml:space="preserve">Política 2: Hub Tecnológico de América Latina</w:t>
      </w:r>
      <w:bookmarkEnd w:id="28"/>
    </w:p>
    <w:p>
      <w:pPr>
        <w:pStyle w:val="FirstParagraph"/>
      </w:pPr>
      <w:r>
        <w:rPr>
          <w:i/>
        </w:rPr>
        <w:t xml:space="preserve">Inspirada en Irlanda (de emigración a hub tech), Estonia (nación digital), Israel (startup nation)</w:t>
      </w:r>
    </w:p>
    <w:p>
      <w:pPr>
        <w:pStyle w:val="Heading3"/>
      </w:pPr>
      <w:bookmarkStart w:id="29" w:name="qué-es-1"/>
      <w:r>
        <w:t xml:space="preserve">Qué es</w:t>
      </w:r>
      <w:bookmarkEnd w:id="29"/>
    </w:p>
    <w:p>
      <w:pPr>
        <w:pStyle w:val="FirstParagraph"/>
      </w:pPr>
      <w:r>
        <w:t xml:space="preserve">Posicionar a Argentina como el centro de servicios tecnológicos y de conocimiento de Latinoamérica, capitalizando sus ventajas: talento (115.000 devs), zona horaria compatible con EEUU, costos competitivos, proficiencia en inglés (1° en LATAM), y cultura creativa.</w:t>
      </w:r>
    </w:p>
    <w:p>
      <w:pPr>
        <w:pStyle w:val="Heading3"/>
      </w:pPr>
      <w:bookmarkStart w:id="30" w:name="diseño-1"/>
      <w:r>
        <w:t xml:space="preserve">Diseño</w:t>
      </w:r>
      <w:bookmarkEnd w:id="30"/>
    </w:p>
    <w:p>
      <w:pPr>
        <w:numPr>
          <w:ilvl w:val="0"/>
          <w:numId w:val="1002"/>
        </w:numPr>
        <w:pStyle w:val="Compact"/>
      </w:pPr>
      <w:r>
        <w:rPr>
          <w:b/>
        </w:rPr>
        <w:t xml:space="preserve">Zona de Innovación Argentina</w:t>
      </w:r>
      <w:r>
        <w:t xml:space="preserve">: régimen fiscal especial para empresas tech que exporten servicios (estabilidad fiscal a 10 años, no más ventajas que las necesarias)</w:t>
      </w:r>
    </w:p>
    <w:p>
      <w:pPr>
        <w:numPr>
          <w:ilvl w:val="0"/>
          <w:numId w:val="1002"/>
        </w:numPr>
        <w:pStyle w:val="Compact"/>
      </w:pPr>
      <w:r>
        <w:rPr>
          <w:b/>
        </w:rPr>
        <w:t xml:space="preserve">Programa de retención de talento tech</w:t>
      </w:r>
      <w:r>
        <w:t xml:space="preserve">: salarios competitivos indexados a USD para investigadores y desarrolladores en proyectos estratégicos</w:t>
      </w:r>
    </w:p>
    <w:p>
      <w:pPr>
        <w:numPr>
          <w:ilvl w:val="0"/>
          <w:numId w:val="1002"/>
        </w:numPr>
        <w:pStyle w:val="Compact"/>
      </w:pPr>
      <w:r>
        <w:rPr>
          <w:b/>
        </w:rPr>
        <w:t xml:space="preserve">5 Hubs de Innovación Regional</w:t>
      </w:r>
      <w:r>
        <w:t xml:space="preserve">: Buenos Aires, Córdoba, Rosario, Mendoza, Bariloche — cada uno con especialización (fintech, agtech, biotech, energía, turismo tech)</w:t>
      </w:r>
    </w:p>
    <w:p>
      <w:pPr>
        <w:numPr>
          <w:ilvl w:val="0"/>
          <w:numId w:val="1002"/>
        </w:numPr>
        <w:pStyle w:val="Compact"/>
      </w:pPr>
      <w:r>
        <w:rPr>
          <w:b/>
        </w:rPr>
        <w:t xml:space="preserve">Meta</w:t>
      </w:r>
      <w:r>
        <w:t xml:space="preserve">: duplicar exportación de servicios tech de USD 9.000M a USD 18.000M/año</w:t>
      </w:r>
    </w:p>
    <w:p>
      <w:pPr>
        <w:pStyle w:val="Heading3"/>
      </w:pPr>
      <w:bookmarkStart w:id="31" w:name="X5f6103981121183815a0a5fa110eebb46cd6276"/>
      <w:r>
        <w:t xml:space="preserve">Costeo: USD 400M en 5 años (incentivos + infraestructura + retención)</w:t>
      </w:r>
      <w:bookmarkEnd w:id="31"/>
    </w:p>
    <w:p>
      <w:r>
        <w:pict>
          <v:rect style="width:0;height:1.5pt" o:hralign="center" o:hrstd="t" o:hr="t"/>
        </w:pict>
      </w:r>
    </w:p>
    <w:p>
      <w:pPr>
        <w:pStyle w:val="Heading2"/>
      </w:pPr>
      <w:bookmarkStart w:id="32" w:name="X4f9b1f22c6f66431fe6bb1326a73ecbbf5ff699"/>
      <w:r>
        <w:t xml:space="preserve">Política 3: Hidrógeno Verde — La Nueva Exportación</w:t>
      </w:r>
      <w:bookmarkEnd w:id="32"/>
    </w:p>
    <w:p>
      <w:pPr>
        <w:pStyle w:val="FirstParagraph"/>
      </w:pPr>
      <w:r>
        <w:rPr>
          <w:i/>
        </w:rPr>
        <w:t xml:space="preserve">Inspirada en Chile (estrategia de hidrógeno verde), Namibia, Australia</w:t>
      </w:r>
    </w:p>
    <w:p>
      <w:pPr>
        <w:pStyle w:val="Heading3"/>
      </w:pPr>
      <w:bookmarkStart w:id="33" w:name="qué-es-2"/>
      <w:r>
        <w:t xml:space="preserve">Qué es</w:t>
      </w:r>
      <w:bookmarkEnd w:id="33"/>
    </w:p>
    <w:p>
      <w:pPr>
        <w:pStyle w:val="FirstParagraph"/>
      </w:pPr>
      <w:r>
        <w:t xml:space="preserve">Argentina tiene el recurso eólico y solar para convertirse en uno de los mayores exportadores de hidrógeno verde del mundo. El hidrógeno verde (producido con energía renovable) es el combustible del futuro para industrias pesadas, aviación y transporte marítimo.</w:t>
      </w:r>
    </w:p>
    <w:p>
      <w:pPr>
        <w:pStyle w:val="Heading3"/>
      </w:pPr>
      <w:bookmarkStart w:id="34" w:name="diseño-2"/>
      <w:r>
        <w:t xml:space="preserve">Diseño</w:t>
      </w:r>
      <w:bookmarkEnd w:id="34"/>
    </w:p>
    <w:p>
      <w:pPr>
        <w:numPr>
          <w:ilvl w:val="0"/>
          <w:numId w:val="1003"/>
        </w:numPr>
        <w:pStyle w:val="Compact"/>
      </w:pPr>
      <w:r>
        <w:rPr>
          <w:b/>
        </w:rPr>
        <w:t xml:space="preserve">Estrategia Nacional de Hidrógeno Verde</w:t>
      </w:r>
      <w:r>
        <w:t xml:space="preserve">: marco regulatorio, incentivos a inversión</w:t>
      </w:r>
    </w:p>
    <w:p>
      <w:pPr>
        <w:numPr>
          <w:ilvl w:val="0"/>
          <w:numId w:val="1003"/>
        </w:numPr>
        <w:pStyle w:val="Compact"/>
      </w:pPr>
      <w:r>
        <w:rPr>
          <w:b/>
        </w:rPr>
        <w:t xml:space="preserve">Primer proyecto piloto</w:t>
      </w:r>
      <w:r>
        <w:t xml:space="preserve">: planta de 500 MW en Patagonia (eólico → electrólisis → H2)</w:t>
      </w:r>
    </w:p>
    <w:p>
      <w:pPr>
        <w:numPr>
          <w:ilvl w:val="0"/>
          <w:numId w:val="1003"/>
        </w:numPr>
        <w:pStyle w:val="Compact"/>
      </w:pPr>
      <w:r>
        <w:rPr>
          <w:b/>
        </w:rPr>
        <w:t xml:space="preserve">Alianzas con importadores</w:t>
      </w:r>
      <w:r>
        <w:t xml:space="preserve">: UE, Japón, Corea del Sur (todos necesitan H2 verde y no lo pueden producir localmente)</w:t>
      </w:r>
    </w:p>
    <w:p>
      <w:pPr>
        <w:numPr>
          <w:ilvl w:val="0"/>
          <w:numId w:val="1003"/>
        </w:numPr>
        <w:pStyle w:val="Compact"/>
      </w:pPr>
      <w:r>
        <w:rPr>
          <w:b/>
        </w:rPr>
        <w:t xml:space="preserve">Formación de 10.000 técnicos</w:t>
      </w:r>
      <w:r>
        <w:t xml:space="preserve"> </w:t>
      </w:r>
      <w:r>
        <w:t xml:space="preserve">en la cadena del hidrógeno</w:t>
      </w:r>
    </w:p>
    <w:p>
      <w:pPr>
        <w:numPr>
          <w:ilvl w:val="0"/>
          <w:numId w:val="1003"/>
        </w:numPr>
        <w:pStyle w:val="Compact"/>
      </w:pPr>
      <w:r>
        <w:rPr>
          <w:b/>
        </w:rPr>
        <w:t xml:space="preserve">Meta</w:t>
      </w:r>
      <w:r>
        <w:t xml:space="preserve">: USD 2.000M en exportaciones de H2 verde al 2035 (el trabajo empieza ahora)</w:t>
      </w:r>
    </w:p>
    <w:p>
      <w:pPr>
        <w:pStyle w:val="Heading3"/>
      </w:pPr>
      <w:bookmarkStart w:id="35" w:name="Xf13e7baf92511a332377cdd1cceb6d8d15b9d45"/>
      <w:r>
        <w:t xml:space="preserve">Costeo: USD 1.000M en 5 años (inversión pública + PPP)</w:t>
      </w:r>
      <w:bookmarkEnd w:id="35"/>
    </w:p>
    <w:p>
      <w:r>
        <w:pict>
          <v:rect style="width:0;height:1.5pt" o:hralign="center" o:hrstd="t" o:hr="t"/>
        </w:pict>
      </w:r>
    </w:p>
    <w:p>
      <w:pPr>
        <w:pStyle w:val="Heading2"/>
      </w:pPr>
      <w:bookmarkStart w:id="36" w:name="política-4-diplomacia-de-la-solidaridad"/>
      <w:r>
        <w:t xml:space="preserve">Política 4: Diplomacia de la Solidaridad</w:t>
      </w:r>
      <w:bookmarkEnd w:id="36"/>
    </w:p>
    <w:p>
      <w:pPr>
        <w:pStyle w:val="FirstParagraph"/>
      </w:pPr>
      <w:r>
        <w:rPr>
          <w:i/>
        </w:rPr>
        <w:t xml:space="preserve">Inspirada en Costa Rica (diplomacia climática), Barbados (Bridgetown Agenda de Mia Mottley), la tradición tercermundista argentina</w:t>
      </w:r>
    </w:p>
    <w:p>
      <w:pPr>
        <w:pStyle w:val="Heading3"/>
      </w:pPr>
      <w:bookmarkStart w:id="37" w:name="qué-es-3"/>
      <w:r>
        <w:t xml:space="preserve">Qué es</w:t>
      </w:r>
      <w:bookmarkEnd w:id="37"/>
    </w:p>
    <w:p>
      <w:pPr>
        <w:pStyle w:val="FirstParagraph"/>
      </w:pPr>
      <w:r>
        <w:t xml:space="preserve">Recuperar una voz propia en el mundo, no alineada automáticamente ni con Washington ni con Beijing. Una diplomacia que defienda los intereses del Sur Global, lidere en clima, impulse la reforma de la arquitectura financiera internacional, y use la ciencia como puente.</w:t>
      </w:r>
    </w:p>
    <w:p>
      <w:pPr>
        <w:pStyle w:val="Heading3"/>
      </w:pPr>
      <w:bookmarkStart w:id="38" w:name="diseño-3"/>
      <w:r>
        <w:t xml:space="preserve">Diseño</w:t>
      </w:r>
      <w:bookmarkEnd w:id="38"/>
    </w:p>
    <w:p>
      <w:pPr>
        <w:numPr>
          <w:ilvl w:val="0"/>
          <w:numId w:val="1004"/>
        </w:numPr>
        <w:pStyle w:val="Compact"/>
      </w:pPr>
      <w:r>
        <w:rPr>
          <w:b/>
        </w:rPr>
        <w:t xml:space="preserve">Liderazgo en reestructuración de deuda</w:t>
      </w:r>
      <w:r>
        <w:t xml:space="preserve">: Argentina, que vivió la mayor reestructuración de deuda de la historia (2005), puede liderar la reforma del sistema de deuda soberana global</w:t>
      </w:r>
    </w:p>
    <w:p>
      <w:pPr>
        <w:numPr>
          <w:ilvl w:val="0"/>
          <w:numId w:val="1004"/>
        </w:numPr>
        <w:pStyle w:val="Compact"/>
      </w:pPr>
      <w:r>
        <w:rPr>
          <w:b/>
        </w:rPr>
        <w:t xml:space="preserve">Alianza climática latinoamericana</w:t>
      </w:r>
      <w:r>
        <w:t xml:space="preserve">: con Brasil, Colombia, Chile — propuesta conjunta para financiamiento climático justo</w:t>
      </w:r>
    </w:p>
    <w:p>
      <w:pPr>
        <w:numPr>
          <w:ilvl w:val="0"/>
          <w:numId w:val="1004"/>
        </w:numPr>
        <w:pStyle w:val="Compact"/>
      </w:pPr>
      <w:r>
        <w:rPr>
          <w:b/>
        </w:rPr>
        <w:t xml:space="preserve">Diplomacia científica</w:t>
      </w:r>
      <w:r>
        <w:t xml:space="preserve">: CAITMA (Política 04a) como plataforma de colaboración con universidades del mundo</w:t>
      </w:r>
    </w:p>
    <w:p>
      <w:pPr>
        <w:numPr>
          <w:ilvl w:val="0"/>
          <w:numId w:val="1004"/>
        </w:numPr>
        <w:pStyle w:val="Compact"/>
      </w:pPr>
      <w:r>
        <w:rPr>
          <w:b/>
        </w:rPr>
        <w:t xml:space="preserve">Cooperación Sur-Sur</w:t>
      </w:r>
      <w:r>
        <w:t xml:space="preserve">: compartir experiencias de políticas públicas con países de la región</w:t>
      </w:r>
    </w:p>
    <w:p>
      <w:pPr>
        <w:numPr>
          <w:ilvl w:val="0"/>
          <w:numId w:val="1004"/>
        </w:numPr>
        <w:pStyle w:val="Compact"/>
      </w:pPr>
      <w:r>
        <w:rPr>
          <w:b/>
        </w:rPr>
        <w:t xml:space="preserve">Mercosur renovado</w:t>
      </w:r>
      <w:r>
        <w:t xml:space="preserve">: agenda pragmática (comercio, energía, infraestructura) sin ideologización</w:t>
      </w:r>
    </w:p>
    <w:p>
      <w:pPr>
        <w:pStyle w:val="Heading3"/>
      </w:pPr>
      <w:bookmarkStart w:id="39" w:name="costeo-usd-200m-en-5-años"/>
      <w:r>
        <w:t xml:space="preserve">Costeo: USD 200M en 5 años</w:t>
      </w:r>
      <w:bookmarkEnd w:id="39"/>
    </w:p>
    <w:p>
      <w:r>
        <w:pict>
          <v:rect style="width:0;height:1.5pt" o:hralign="center" o:hrstd="t" o:hr="t"/>
        </w:pict>
      </w:r>
    </w:p>
    <w:p>
      <w:pPr>
        <w:pStyle w:val="Heading2"/>
      </w:pPr>
      <w:bookmarkStart w:id="40" w:name="política-5-turismo-regenerativo"/>
      <w:r>
        <w:t xml:space="preserve">Política 5: Turismo Regenerativo</w:t>
      </w:r>
      <w:bookmarkEnd w:id="40"/>
    </w:p>
    <w:p>
      <w:pPr>
        <w:pStyle w:val="FirstParagraph"/>
      </w:pPr>
      <w:r>
        <w:rPr>
          <w:i/>
        </w:rPr>
        <w:t xml:space="preserve">Inspirada en Nueva Zelanda (turismo sustentable), Costa Rica (ecoturismo), Bután (high value, low impact)</w:t>
      </w:r>
    </w:p>
    <w:p>
      <w:pPr>
        <w:pStyle w:val="Heading3"/>
      </w:pPr>
      <w:bookmarkStart w:id="41" w:name="qué-es-4"/>
      <w:r>
        <w:t xml:space="preserve">Qué es</w:t>
      </w:r>
      <w:bookmarkEnd w:id="41"/>
    </w:p>
    <w:p>
      <w:pPr>
        <w:pStyle w:val="FirstParagraph"/>
      </w:pPr>
      <w:r>
        <w:t xml:space="preserve">Argentina tiene paisajes extraordinarios (glaciares, cataratas, valles, estepas, selvas, montañas) y una cultura fascinante (tango, gastronomía, vino, fútbol). Pero el turismo está subdesarrollado y concentrado en pocos destinos. El turismo regenerativo busca que el turista deje más de lo que se lleva — y que los beneficios lleguen a las comunidades locales, no a cadenas hoteleras.</w:t>
      </w:r>
    </w:p>
    <w:p>
      <w:pPr>
        <w:pStyle w:val="Heading3"/>
      </w:pPr>
      <w:bookmarkStart w:id="42" w:name="diseño-4"/>
      <w:r>
        <w:t xml:space="preserve">Diseño</w:t>
      </w:r>
      <w:bookmarkEnd w:id="42"/>
    </w:p>
    <w:p>
      <w:pPr>
        <w:numPr>
          <w:ilvl w:val="0"/>
          <w:numId w:val="1005"/>
        </w:numPr>
        <w:pStyle w:val="Compact"/>
      </w:pPr>
      <w:r>
        <w:rPr>
          <w:b/>
        </w:rPr>
        <w:t xml:space="preserve">30 Destinos Regenerativos</w:t>
      </w:r>
      <w:r>
        <w:t xml:space="preserve">: circuitos que combinan naturaleza, cultura, gastronomía local y contacto comunitario</w:t>
      </w:r>
    </w:p>
    <w:p>
      <w:pPr>
        <w:numPr>
          <w:ilvl w:val="0"/>
          <w:numId w:val="1005"/>
        </w:numPr>
        <w:pStyle w:val="Compact"/>
      </w:pPr>
      <w:r>
        <w:rPr>
          <w:b/>
        </w:rPr>
        <w:t xml:space="preserve">Certificación</w:t>
      </w:r>
      <w:r>
        <w:rPr>
          <w:b/>
        </w:rPr>
        <w:t xml:space="preserve"> </w:t>
      </w:r>
      <w:r>
        <w:rPr>
          <w:b/>
        </w:rPr>
        <w:t xml:space="preserve">“</w:t>
      </w:r>
      <w:r>
        <w:rPr>
          <w:b/>
        </w:rPr>
        <w:t xml:space="preserve">Argentina Regenerativa</w:t>
      </w:r>
      <w:r>
        <w:rPr>
          <w:b/>
        </w:rPr>
        <w:t xml:space="preserve">”</w:t>
      </w:r>
      <w:r>
        <w:t xml:space="preserve">: estándar de calidad + sustentabilidad + impacto comunitario</w:t>
      </w:r>
    </w:p>
    <w:p>
      <w:pPr>
        <w:numPr>
          <w:ilvl w:val="0"/>
          <w:numId w:val="1005"/>
        </w:numPr>
        <w:pStyle w:val="Compact"/>
      </w:pPr>
      <w:r>
        <w:rPr>
          <w:b/>
        </w:rPr>
        <w:t xml:space="preserve">Turismo comunitario</w:t>
      </w:r>
      <w:r>
        <w:t xml:space="preserve">: comunidades indígenas y rurales como anfitriones y protagonistas</w:t>
      </w:r>
    </w:p>
    <w:p>
      <w:pPr>
        <w:numPr>
          <w:ilvl w:val="0"/>
          <w:numId w:val="1005"/>
        </w:numPr>
        <w:pStyle w:val="Compact"/>
      </w:pPr>
      <w:r>
        <w:rPr>
          <w:b/>
        </w:rPr>
        <w:t xml:space="preserve">Conectividad aérea federal</w:t>
      </w:r>
      <w:r>
        <w:t xml:space="preserve">: rutas directas a destinos sin pasar por Buenos Aires</w:t>
      </w:r>
    </w:p>
    <w:p>
      <w:pPr>
        <w:numPr>
          <w:ilvl w:val="0"/>
          <w:numId w:val="1005"/>
        </w:numPr>
        <w:pStyle w:val="Compact"/>
      </w:pPr>
      <w:r>
        <w:rPr>
          <w:b/>
        </w:rPr>
        <w:t xml:space="preserve">Meta</w:t>
      </w:r>
      <w:r>
        <w:t xml:space="preserve">: duplicar ingresos turísticos de USD 5.000M a USD 10.000M/año</w:t>
      </w:r>
    </w:p>
    <w:p>
      <w:pPr>
        <w:pStyle w:val="Heading3"/>
      </w:pPr>
      <w:bookmarkStart w:id="43" w:name="costeo-usd-400m-en-5-años"/>
      <w:r>
        <w:t xml:space="preserve">Costeo: USD 400M en 5 años</w:t>
      </w:r>
      <w:bookmarkEnd w:id="43"/>
    </w:p>
    <w:p>
      <w:r>
        <w:pict>
          <v:rect style="width:0;height:1.5pt" o:hralign="center" o:hrstd="t" o:hr="t"/>
        </w:pict>
      </w:r>
    </w:p>
    <w:p>
      <w:pPr>
        <w:pStyle w:val="Heading2"/>
      </w:pPr>
      <w:bookmarkStart w:id="44" w:name="resumen-argentina-en-el-mundo"/>
      <w:r>
        <w:t xml:space="preserve">Resumen: Argentina en el Mundo</w:t>
      </w:r>
      <w:bookmarkEnd w:id="44"/>
    </w:p>
    <w:tbl>
      <w:tblPr>
        <w:tblStyle w:val="Table"/>
        <w:tblW w:type="pct" w:w="4999.999999999999"/>
        <w:tblLook w:firstRow="1"/>
      </w:tblPr>
      <w:tblGrid>
        <w:gridCol w:w="2084"/>
        <w:gridCol w:w="3960"/>
        <w:gridCol w:w="1875"/>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Inversión 5 años</w:t>
            </w:r>
          </w:p>
        </w:tc>
        <w:tc>
          <w:tcPr>
            <w:tcBorders>
              <w:bottom w:val="single"/>
            </w:tcBorders>
            <w:vAlign w:val="bottom"/>
          </w:tcPr>
          <w:p>
            <w:pPr>
              <w:pStyle w:val="Compact"/>
              <w:jc w:val="left"/>
            </w:pPr>
            <w:r>
              <w:t xml:space="preserve">Impacto</w:t>
            </w:r>
          </w:p>
        </w:tc>
      </w:tr>
      <w:tr>
        <w:tc>
          <w:p>
            <w:pPr>
              <w:pStyle w:val="Compact"/>
              <w:jc w:val="left"/>
            </w:pPr>
            <w:r>
              <w:t xml:space="preserve">1. Potencia Alimentaria</w:t>
            </w:r>
          </w:p>
        </w:tc>
        <w:tc>
          <w:p>
            <w:pPr>
              <w:pStyle w:val="Compact"/>
              <w:jc w:val="left"/>
            </w:pPr>
            <w:r>
              <w:t xml:space="preserve">USD 500M</w:t>
            </w:r>
          </w:p>
        </w:tc>
        <w:tc>
          <w:p>
            <w:pPr>
              <w:pStyle w:val="Compact"/>
              <w:jc w:val="left"/>
            </w:pPr>
            <w:r>
              <w:t xml:space="preserve">Marca país + industrialización exportaciones</w:t>
            </w:r>
          </w:p>
        </w:tc>
      </w:tr>
      <w:tr>
        <w:tc>
          <w:p>
            <w:pPr>
              <w:pStyle w:val="Compact"/>
              <w:jc w:val="left"/>
            </w:pPr>
            <w:r>
              <w:t xml:space="preserve">2. Hub Tecnológico</w:t>
            </w:r>
          </w:p>
        </w:tc>
        <w:tc>
          <w:p>
            <w:pPr>
              <w:pStyle w:val="Compact"/>
              <w:jc w:val="left"/>
            </w:pPr>
            <w:r>
              <w:t xml:space="preserve">USD 400M</w:t>
            </w:r>
          </w:p>
        </w:tc>
        <w:tc>
          <w:p>
            <w:pPr>
              <w:pStyle w:val="Compact"/>
              <w:jc w:val="left"/>
            </w:pPr>
            <w:r>
              <w:t xml:space="preserve">USD 18.000M exportaciones tech</w:t>
            </w:r>
          </w:p>
        </w:tc>
      </w:tr>
      <w:tr>
        <w:tc>
          <w:p>
            <w:pPr>
              <w:pStyle w:val="Compact"/>
              <w:jc w:val="left"/>
            </w:pPr>
            <w:r>
              <w:t xml:space="preserve">3. Hidrógeno Verde</w:t>
            </w:r>
          </w:p>
        </w:tc>
        <w:tc>
          <w:p>
            <w:pPr>
              <w:pStyle w:val="Compact"/>
              <w:jc w:val="left"/>
            </w:pPr>
            <w:r>
              <w:t xml:space="preserve">USD 1.000M</w:t>
            </w:r>
          </w:p>
        </w:tc>
        <w:tc>
          <w:p>
            <w:pPr>
              <w:pStyle w:val="Compact"/>
              <w:jc w:val="left"/>
            </w:pPr>
            <w:r>
              <w:t xml:space="preserve">Nueva industria exportadora</w:t>
            </w:r>
          </w:p>
        </w:tc>
      </w:tr>
      <w:tr>
        <w:tc>
          <w:p>
            <w:pPr>
              <w:pStyle w:val="Compact"/>
              <w:jc w:val="left"/>
            </w:pPr>
            <w:r>
              <w:t xml:space="preserve">4. Diplomacia Solidaria</w:t>
            </w:r>
          </w:p>
        </w:tc>
        <w:tc>
          <w:p>
            <w:pPr>
              <w:pStyle w:val="Compact"/>
              <w:jc w:val="left"/>
            </w:pPr>
            <w:r>
              <w:t xml:space="preserve">USD 200M</w:t>
            </w:r>
          </w:p>
        </w:tc>
        <w:tc>
          <w:p>
            <w:pPr>
              <w:pStyle w:val="Compact"/>
              <w:jc w:val="left"/>
            </w:pPr>
            <w:r>
              <w:t xml:space="preserve">Voz propia en el mundo</w:t>
            </w:r>
          </w:p>
        </w:tc>
      </w:tr>
      <w:tr>
        <w:tc>
          <w:p>
            <w:pPr>
              <w:pStyle w:val="Compact"/>
              <w:jc w:val="left"/>
            </w:pPr>
            <w:r>
              <w:t xml:space="preserve">5. Turismo Regenerativo</w:t>
            </w:r>
          </w:p>
        </w:tc>
        <w:tc>
          <w:p>
            <w:pPr>
              <w:pStyle w:val="Compact"/>
              <w:jc w:val="left"/>
            </w:pPr>
            <w:r>
              <w:t xml:space="preserve">USD 400M</w:t>
            </w:r>
          </w:p>
        </w:tc>
        <w:tc>
          <w:p>
            <w:pPr>
              <w:pStyle w:val="Compact"/>
              <w:jc w:val="left"/>
            </w:pPr>
            <w:r>
              <w:t xml:space="preserve">USD 10.000M ingresos turísticos</w:t>
            </w:r>
          </w:p>
        </w:tc>
      </w:tr>
      <w:tr>
        <w:tc>
          <w:p>
            <w:pPr>
              <w:pStyle w:val="Compact"/>
              <w:jc w:val="left"/>
            </w:pPr>
            <w:r>
              <w:rPr>
                <w:b/>
              </w:rPr>
              <w:t xml:space="preserve">Total</w:t>
            </w:r>
          </w:p>
        </w:tc>
        <w:tc>
          <w:p>
            <w:pPr>
              <w:pStyle w:val="Compact"/>
              <w:jc w:val="left"/>
            </w:pPr>
            <w:r>
              <w:rPr>
                <w:b/>
              </w:rPr>
              <w:t xml:space="preserve">USD 2.500M</w:t>
            </w:r>
          </w:p>
        </w:tc>
        <w:tc>
          <w:p/>
        </w:tc>
      </w:tr>
    </w:tbl>
    <w:p>
      <w:r>
        <w:pict>
          <v:rect style="width:0;height:1.5pt" o:hralign="center" o:hrstd="t" o:hr="t"/>
        </w:pict>
      </w:r>
    </w:p>
    <w:p>
      <w:pPr>
        <w:pStyle w:val="FirstParagraph"/>
      </w:pPr>
      <w:r>
        <w:rPr>
          <w:i/>
        </w:rPr>
        <w:t xml:space="preserve">Argentina no necesita elegir entre EEUU y China. Necesita elegir ser Argentina: un país que alimenta al mundo, que innova, que cuida su tierra, y que tiene algo que decir.</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2026-02-28T18:25:21Z</dcterms:created>
  <dcterms:modified xsi:type="dcterms:W3CDTF">2026-02-28T18:25:21Z</dcterms:modified>
</cp:coreProperties>
</file>

<file path=docProps/custom.xml><?xml version="1.0" encoding="utf-8"?>
<Properties xmlns="http://schemas.openxmlformats.org/officeDocument/2006/custom-properties" xmlns:vt="http://schemas.openxmlformats.org/officeDocument/2006/docPropsVTypes"/>
</file>