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munidad-cultura-y-tiempo-libre"/>
      <w:r>
        <w:t xml:space="preserve">Comunidad, Cultura y Tiempo Libre</w:t>
      </w:r>
      <w:bookmarkEnd w:id="20"/>
    </w:p>
    <w:p>
      <w:pPr>
        <w:pStyle w:val="Heading2"/>
      </w:pPr>
      <w:bookmarkStart w:id="21" w:name="X3ff7e47b928e3b0338532656544152345aa9352"/>
      <w:r>
        <w:t xml:space="preserve">Argentina Próspera 2027-2031 — Documento Sectorial 12</w:t>
      </w:r>
      <w:bookmarkEnd w:id="21"/>
    </w:p>
    <w:p>
      <w:r>
        <w:pict>
          <v:rect style="width:0;height:1.5pt" o:hralign="center" o:hrstd="t" o:hr="t"/>
        </w:pict>
      </w:r>
    </w:p>
    <w:p>
      <w:pPr>
        <w:pStyle w:val="Heading2"/>
      </w:pPr>
      <w:bookmarkStart w:id="22" w:name="X4cc2223609587dabcd7098f83ed74c743ca3945"/>
      <w:r>
        <w:t xml:space="preserve">La Situación Hoy: un país con alma pero sin espacios</w:t>
      </w:r>
      <w:bookmarkEnd w:id="22"/>
    </w:p>
    <w:p>
      <w:pPr>
        <w:pStyle w:val="FirstParagraph"/>
      </w:pPr>
      <w:r>
        <w:t xml:space="preserve">Argentina tiene una de las culturas más vibrantes del mundo. El tango es patrimonio de la humanidad. La literatura argentina (Borges, Cortázar, Walsh, Heker) es referencia mundial. El cine argentino gana premios internacionales. El rock nacional creó una identidad generacional única. Las industrias culturales aportan el 2,6% del PBI y emplean a 245.000 personas.</w:t>
      </w:r>
    </w:p>
    <w:p>
      <w:pPr>
        <w:pStyle w:val="BodyText"/>
      </w:pPr>
      <w:r>
        <w:t xml:space="preserve">Pero esa riqueza cultural convive con una pobreza de espacios, de acceso y de tiempo. Los centros culturales y bibliotecas se concentran en Buenos Aires. Los clubes de barrio — ese tejido social que sostuvo generaciones — están en crisis. El deporte comunitario perdió 77% de financiamiento municipal en términos reales. La brecha digital deja a comunidades rurales enteras sin conexión. Y uno de cada cinco adultos mayores vive solo.</w:t>
      </w:r>
    </w:p>
    <w:p>
      <w:pPr>
        <w:pStyle w:val="BodyText"/>
      </w:pPr>
      <w:r>
        <w:t xml:space="preserve">Las 48 pueblos originarios de Argentina, con 40 lenguas (solo 9 con vitalidad activa), ven cómo su cultura se erosiona sin políticas de preservación reales.</w:t>
      </w:r>
    </w:p>
    <w:p>
      <w:r>
        <w:pict>
          <v:rect style="width:0;height:1.5pt" o:hralign="center" o:hrstd="t" o:hr="t"/>
        </w:pict>
      </w:r>
    </w:p>
    <w:p>
      <w:pPr>
        <w:pStyle w:val="Heading2"/>
      </w:pPr>
      <w:bookmarkStart w:id="23" w:name="X5cc138c0e2118f72a08772b5ec755b95d884c69"/>
      <w:r>
        <w:t xml:space="preserve">Cinco Políticas para la Vida en Comunidad</w:t>
      </w:r>
      <w:bookmarkEnd w:id="23"/>
    </w:p>
    <w:p>
      <w:r>
        <w:pict>
          <v:rect style="width:0;height:1.5pt" o:hralign="center" o:hrstd="t" o:hr="t"/>
        </w:pict>
      </w:r>
    </w:p>
    <w:p>
      <w:pPr>
        <w:pStyle w:val="Heading2"/>
      </w:pPr>
      <w:bookmarkStart w:id="24" w:name="Xd2892a77b79e2db6686acaf27c69bbb05bd9b36"/>
      <w:r>
        <w:t xml:space="preserve">Política 1: Bibliotecas del Siglo XXI — Centros de Vida Comunitaria</w:t>
      </w:r>
      <w:bookmarkEnd w:id="24"/>
    </w:p>
    <w:p>
      <w:pPr>
        <w:pStyle w:val="FirstParagraph"/>
      </w:pPr>
      <w:r>
        <w:rPr>
          <w:i/>
        </w:rPr>
        <w:t xml:space="preserve">Inspirada en Oodi (Helsinki), Parques Biblioteca (Medellín), y Kerala (People’s Plan)</w:t>
      </w:r>
    </w:p>
    <w:p>
      <w:pPr>
        <w:pStyle w:val="Heading3"/>
      </w:pPr>
      <w:bookmarkStart w:id="25" w:name="qué-es"/>
      <w:r>
        <w:t xml:space="preserve">Qué es</w:t>
      </w:r>
      <w:bookmarkEnd w:id="25"/>
    </w:p>
    <w:p>
      <w:pPr>
        <w:pStyle w:val="FirstParagraph"/>
      </w:pPr>
      <w:r>
        <w:t xml:space="preserve">Transformar las bibliotecas populares y centros culturales barriales en</w:t>
      </w:r>
      <w:r>
        <w:t xml:space="preserve"> </w:t>
      </w:r>
      <w:r>
        <w:rPr>
          <w:b/>
        </w:rPr>
        <w:t xml:space="preserve">centros de vida comunitaria</w:t>
      </w:r>
      <w:r>
        <w:t xml:space="preserve">: espacios donde además de libros hay wifi, makerspaces (impresoras 3D, herramientas), sala de reuniones, talleres, asesoría legal, apoyo escolar, café, y un lugar donde sentirse parte de algo.</w:t>
      </w:r>
    </w:p>
    <w:p>
      <w:pPr>
        <w:pStyle w:val="BodyText"/>
      </w:pPr>
      <w:r>
        <w:rPr>
          <w:b/>
        </w:rPr>
        <w:t xml:space="preserve">Oodi</w:t>
      </w:r>
      <w:r>
        <w:t xml:space="preserve"> </w:t>
      </w:r>
      <w:r>
        <w:t xml:space="preserve">en Helsinki costó €98 millones y es la biblioteca más visitada de Finlandia: tiene sala de música, cocina comunitaria, taller de costura, impresora 3D, sala de videojuegos, y un balcón con vista al parlamento. La filosofía: la biblioteca como</w:t>
      </w:r>
      <w:r>
        <w:t xml:space="preserve"> </w:t>
      </w:r>
      <w:r>
        <w:t xml:space="preserve">“</w:t>
      </w:r>
      <w:r>
        <w:t xml:space="preserve">living room</w:t>
      </w:r>
      <w:r>
        <w:t xml:space="preserve">”</w:t>
      </w:r>
      <w:r>
        <w:t xml:space="preserve"> </w:t>
      </w:r>
      <w:r>
        <w:t xml:space="preserve">de la ciudad.</w:t>
      </w:r>
    </w:p>
    <w:p>
      <w:pPr>
        <w:pStyle w:val="BodyText"/>
      </w:pPr>
      <w:r>
        <w:rPr>
          <w:b/>
        </w:rPr>
        <w:t xml:space="preserve">Medellín</w:t>
      </w:r>
      <w:r>
        <w:t xml:space="preserve"> </w:t>
      </w:r>
      <w:r>
        <w:t xml:space="preserve">construyó Parques Biblioteca en las comunas más violentas. No solo bajó la violencia — transformó la identidad del barrio. Ir a la biblioteca se convirtió en ir a lo mejor que tiene tu barrio.</w:t>
      </w:r>
    </w:p>
    <w:p>
      <w:pPr>
        <w:pStyle w:val="Heading3"/>
      </w:pPr>
      <w:bookmarkStart w:id="26" w:name="diseño-para-argentina"/>
      <w:r>
        <w:t xml:space="preserve">Diseño para Argentina</w:t>
      </w:r>
      <w:bookmarkEnd w:id="26"/>
    </w:p>
    <w:p>
      <w:pPr>
        <w:numPr>
          <w:ilvl w:val="0"/>
          <w:numId w:val="1001"/>
        </w:numPr>
        <w:pStyle w:val="Compact"/>
      </w:pPr>
      <w:r>
        <w:rPr>
          <w:b/>
        </w:rPr>
        <w:t xml:space="preserve">200 Bibliotecas-Centro de Vida</w:t>
      </w:r>
      <w:r>
        <w:t xml:space="preserve"> </w:t>
      </w:r>
      <w:r>
        <w:t xml:space="preserve">en todo el país (prioridad: barrios populares, pueblos, zonas rurales)</w:t>
      </w:r>
    </w:p>
    <w:p>
      <w:pPr>
        <w:numPr>
          <w:ilvl w:val="0"/>
          <w:numId w:val="1001"/>
        </w:numPr>
        <w:pStyle w:val="Compact"/>
      </w:pPr>
      <w:r>
        <w:t xml:space="preserve">Cada una incluye: biblioteca + wifi libre + makerspace + sala de reuniones + talleres + café social + apoyo escolar + asesoría legal básica</w:t>
      </w:r>
    </w:p>
    <w:p>
      <w:pPr>
        <w:numPr>
          <w:ilvl w:val="0"/>
          <w:numId w:val="1001"/>
        </w:numPr>
        <w:pStyle w:val="Compact"/>
      </w:pPr>
      <w:r>
        <w:t xml:space="preserve">Gestión comunitaria (cooperativas culturales locales)</w:t>
      </w:r>
    </w:p>
    <w:p>
      <w:pPr>
        <w:numPr>
          <w:ilvl w:val="0"/>
          <w:numId w:val="1001"/>
        </w:numPr>
        <w:pStyle w:val="Compact"/>
      </w:pPr>
      <w:r>
        <w:t xml:space="preserve">Arquitectura digna (no galpones reciclados — espacios diseñados para inspirar)</w:t>
      </w:r>
    </w:p>
    <w:p>
      <w:pPr>
        <w:numPr>
          <w:ilvl w:val="0"/>
          <w:numId w:val="1001"/>
        </w:numPr>
        <w:pStyle w:val="Compact"/>
      </w:pPr>
      <w:r>
        <w:t xml:space="preserve">Meta: toda persona en Argentina a menos de 30 minutos de un Centro de Vida</w:t>
      </w:r>
    </w:p>
    <w:p>
      <w:pPr>
        <w:pStyle w:val="Heading3"/>
      </w:pPr>
      <w:bookmarkStart w:id="27" w:name="X9c1da986cb239ba4140a460974011453a081ac2"/>
      <w:r>
        <w:t xml:space="preserve">Costeo: USD 800M en 5 años (200 centros × USD 4M promedio incluyendo construcción, equipamiento y 3 años de operación)</w:t>
      </w:r>
      <w:bookmarkEnd w:id="27"/>
    </w:p>
    <w:p>
      <w:r>
        <w:pict>
          <v:rect style="width:0;height:1.5pt" o:hralign="center" o:hrstd="t" o:hr="t"/>
        </w:pict>
      </w:r>
    </w:p>
    <w:p>
      <w:pPr>
        <w:pStyle w:val="Heading2"/>
      </w:pPr>
      <w:bookmarkStart w:id="28" w:name="Xa70e6fd2e64218e4eaa483099376796a5bb6bec"/>
      <w:r>
        <w:t xml:space="preserve">Política 2: Modelo Islandés de Prevención — Juventud sin Adicciones</w:t>
      </w:r>
      <w:bookmarkEnd w:id="28"/>
    </w:p>
    <w:p>
      <w:pPr>
        <w:pStyle w:val="FirstParagraph"/>
      </w:pPr>
      <w:r>
        <w:rPr>
          <w:i/>
        </w:rPr>
        <w:t xml:space="preserve">Inspirada en Planet Youth (Islandia), con adaptación al contexto argentino</w:t>
      </w:r>
    </w:p>
    <w:p>
      <w:pPr>
        <w:pStyle w:val="Heading3"/>
      </w:pPr>
      <w:bookmarkStart w:id="29" w:name="qué-es-1"/>
      <w:r>
        <w:t xml:space="preserve">Qué es</w:t>
      </w:r>
      <w:bookmarkEnd w:id="29"/>
    </w:p>
    <w:p>
      <w:pPr>
        <w:pStyle w:val="FirstParagraph"/>
      </w:pPr>
      <w:r>
        <w:t xml:space="preserve">Islandia tenía las peores tasas de consumo juvenil de alcohol y drogas de Europa en los ’90. Hoy tiene las mejores. ¿Cómo? No con campañas de</w:t>
      </w:r>
      <w:r>
        <w:t xml:space="preserve"> </w:t>
      </w:r>
      <w:r>
        <w:t xml:space="preserve">“</w:t>
      </w:r>
      <w:r>
        <w:t xml:space="preserve">decí no</w:t>
      </w:r>
      <w:r>
        <w:t xml:space="preserve">”</w:t>
      </w:r>
      <w:r>
        <w:t xml:space="preserve"> </w:t>
      </w:r>
      <w:r>
        <w:t xml:space="preserve">sino cambiando el ambiente: más deporte, más cultura, más tiempo con la familia, horarios protegidos, y alternativas reales a la esquina.</w:t>
      </w:r>
    </w:p>
    <w:p>
      <w:pPr>
        <w:pStyle w:val="BodyText"/>
      </w:pPr>
      <w:r>
        <w:t xml:space="preserve">El consumo de alcohol entre jóvenes islandeses pasó del</w:t>
      </w:r>
      <w:r>
        <w:t xml:space="preserve"> </w:t>
      </w:r>
      <w:r>
        <w:rPr>
          <w:b/>
        </w:rPr>
        <w:t xml:space="preserve">42% al 5%</w:t>
      </w:r>
      <w:r>
        <w:t xml:space="preserve">. El de cannabis del 17% al 3%. Sin prohibicionismo — con oportunidades.</w:t>
      </w:r>
    </w:p>
    <w:p>
      <w:pPr>
        <w:pStyle w:val="Heading3"/>
      </w:pPr>
      <w:bookmarkStart w:id="30" w:name="diseño-para-argentina-1"/>
      <w:r>
        <w:t xml:space="preserve">Diseño para Argentina</w:t>
      </w:r>
      <w:bookmarkEnd w:id="30"/>
    </w:p>
    <w:p>
      <w:pPr>
        <w:numPr>
          <w:ilvl w:val="0"/>
          <w:numId w:val="1002"/>
        </w:numPr>
        <w:pStyle w:val="Compact"/>
      </w:pPr>
      <w:r>
        <w:rPr>
          <w:b/>
        </w:rPr>
        <w:t xml:space="preserve">Diagnóstico participativo</w:t>
      </w:r>
      <w:r>
        <w:t xml:space="preserve"> </w:t>
      </w:r>
      <w:r>
        <w:t xml:space="preserve">en 500 comunidades: encuesta anónima a jóvenes de 14-18 sobre consumo, vida familiar, actividades, percepción</w:t>
      </w:r>
    </w:p>
    <w:p>
      <w:pPr>
        <w:numPr>
          <w:ilvl w:val="0"/>
          <w:numId w:val="1002"/>
        </w:numPr>
        <w:pStyle w:val="Compact"/>
      </w:pPr>
      <w:r>
        <w:rPr>
          <w:b/>
        </w:rPr>
        <w:t xml:space="preserve">Deporte y cultura gratuita</w:t>
      </w:r>
      <w:r>
        <w:t xml:space="preserve">: cada joven de 12-18 tiene acceso a al menos 3 actividades extracurriculares gratuitas (deporte, música, arte, tecnología, teatro)</w:t>
      </w:r>
    </w:p>
    <w:p>
      <w:pPr>
        <w:numPr>
          <w:ilvl w:val="0"/>
          <w:numId w:val="1002"/>
        </w:numPr>
        <w:pStyle w:val="Compact"/>
      </w:pPr>
      <w:r>
        <w:rPr>
          <w:b/>
        </w:rPr>
        <w:t xml:space="preserve">Subsidio de actividades</w:t>
      </w:r>
      <w:r>
        <w:t xml:space="preserve"> </w:t>
      </w:r>
      <w:r>
        <w:t xml:space="preserve">(modelo Islandia: tarjeta con crédito para inscripciones deportivas y culturales)</w:t>
      </w:r>
    </w:p>
    <w:p>
      <w:pPr>
        <w:numPr>
          <w:ilvl w:val="0"/>
          <w:numId w:val="1002"/>
        </w:numPr>
        <w:pStyle w:val="Compact"/>
      </w:pPr>
      <w:r>
        <w:rPr>
          <w:b/>
        </w:rPr>
        <w:t xml:space="preserve">Horarios protegidos</w:t>
      </w:r>
      <w:r>
        <w:t xml:space="preserve">: los menores de 16 no pueden estar en la calle después de las 22h sin adulto (con acompañamiento, no punición)</w:t>
      </w:r>
    </w:p>
    <w:p>
      <w:pPr>
        <w:numPr>
          <w:ilvl w:val="0"/>
          <w:numId w:val="1002"/>
        </w:numPr>
        <w:pStyle w:val="Compact"/>
      </w:pPr>
      <w:r>
        <w:rPr>
          <w:b/>
        </w:rPr>
        <w:t xml:space="preserve">Formación de padres</w:t>
      </w:r>
      <w:r>
        <w:t xml:space="preserve">: talleres de parentalidad positiva en escuelas</w:t>
      </w:r>
    </w:p>
    <w:p>
      <w:pPr>
        <w:pStyle w:val="Heading3"/>
      </w:pPr>
      <w:bookmarkStart w:id="31" w:name="X9ddc7bdba43d95d4f7aa315958b12a59caafc8c"/>
      <w:r>
        <w:t xml:space="preserve">Costeo: USD 500M en 5 años (deporte + cultura + diagnóstico + formación)</w:t>
      </w:r>
      <w:bookmarkEnd w:id="31"/>
    </w:p>
    <w:p>
      <w:r>
        <w:pict>
          <v:rect style="width:0;height:1.5pt" o:hralign="center" o:hrstd="t" o:hr="t"/>
        </w:pict>
      </w:r>
    </w:p>
    <w:p>
      <w:pPr>
        <w:pStyle w:val="Heading2"/>
      </w:pPr>
      <w:bookmarkStart w:id="32" w:name="X06cf50535037370cd0d3121166d72781a38cc14"/>
      <w:r>
        <w:t xml:space="preserve">Política 3: Ciclovías, Plazas y Supermanzanas — Recuperar el Espacio Público</w:t>
      </w:r>
      <w:bookmarkEnd w:id="32"/>
    </w:p>
    <w:p>
      <w:pPr>
        <w:pStyle w:val="FirstParagraph"/>
      </w:pPr>
      <w:r>
        <w:rPr>
          <w:i/>
        </w:rPr>
        <w:t xml:space="preserve">Inspirada en Bogotá (Ciclovía dominical), Barcelona (Superilles), Curitiba (urbanismo humano)</w:t>
      </w:r>
    </w:p>
    <w:p>
      <w:pPr>
        <w:pStyle w:val="Heading3"/>
      </w:pPr>
      <w:bookmarkStart w:id="33" w:name="qué-es-2"/>
      <w:r>
        <w:t xml:space="preserve">Qué es</w:t>
      </w:r>
      <w:bookmarkEnd w:id="33"/>
    </w:p>
    <w:p>
      <w:pPr>
        <w:pStyle w:val="FirstParagraph"/>
      </w:pPr>
      <w:r>
        <w:rPr>
          <w:b/>
        </w:rPr>
        <w:t xml:space="preserve">Bogotá</w:t>
      </w:r>
      <w:r>
        <w:t xml:space="preserve"> </w:t>
      </w:r>
      <w:r>
        <w:t xml:space="preserve">cierra 127 km de calles cada domingo para que 1,5 millones de personas caminen, corran, pedaleen, bailen. Costo: mínimo. Impacto: enorme en salud, convivencia, identidad.</w:t>
      </w:r>
    </w:p>
    <w:p>
      <w:pPr>
        <w:pStyle w:val="BodyText"/>
      </w:pPr>
      <w:r>
        <w:rPr>
          <w:b/>
        </w:rPr>
        <w:t xml:space="preserve">Barcelona</w:t>
      </w:r>
      <w:r>
        <w:t xml:space="preserve"> </w:t>
      </w:r>
      <w:r>
        <w:t xml:space="preserve">creó las Superilles (supermanzanas): bloques de 9 manzanas donde se restringe el tráfico y se convierte el asfalto en espacio público. Resultado: 13.350 m² de nuevo espacio público, reducción de NO₂ del 25%, reducción de tráfico del 58%.</w:t>
      </w:r>
    </w:p>
    <w:p>
      <w:pPr>
        <w:pStyle w:val="Heading3"/>
      </w:pPr>
      <w:bookmarkStart w:id="34" w:name="diseño-para-argentina-2"/>
      <w:r>
        <w:t xml:space="preserve">Diseño para Argentina</w:t>
      </w:r>
      <w:bookmarkEnd w:id="34"/>
    </w:p>
    <w:p>
      <w:pPr>
        <w:numPr>
          <w:ilvl w:val="0"/>
          <w:numId w:val="1003"/>
        </w:numPr>
        <w:pStyle w:val="Compact"/>
      </w:pPr>
      <w:r>
        <w:rPr>
          <w:b/>
        </w:rPr>
        <w:t xml:space="preserve">Ciclovía Dominical Nacional</w:t>
      </w:r>
      <w:r>
        <w:t xml:space="preserve">: en las 50 ciudades más grandes, 200+ km de calles cerradas cada domingo</w:t>
      </w:r>
    </w:p>
    <w:p>
      <w:pPr>
        <w:numPr>
          <w:ilvl w:val="0"/>
          <w:numId w:val="1003"/>
        </w:numPr>
        <w:pStyle w:val="Compact"/>
      </w:pPr>
      <w:r>
        <w:rPr>
          <w:b/>
        </w:rPr>
        <w:t xml:space="preserve">50 Supermanzanas</w:t>
      </w:r>
      <w:r>
        <w:t xml:space="preserve">: conversión de zonas urbanas en espacios peatonales (prioridad: zonas céntricas con alta densidad)</w:t>
      </w:r>
    </w:p>
    <w:p>
      <w:pPr>
        <w:numPr>
          <w:ilvl w:val="0"/>
          <w:numId w:val="1003"/>
        </w:numPr>
        <w:pStyle w:val="Compact"/>
      </w:pPr>
      <w:r>
        <w:rPr>
          <w:b/>
        </w:rPr>
        <w:t xml:space="preserve">1.000 plazas renovadas</w:t>
      </w:r>
      <w:r>
        <w:t xml:space="preserve">: equipamiento, iluminación, accesibilidad, juegos inclusivos</w:t>
      </w:r>
    </w:p>
    <w:p>
      <w:pPr>
        <w:numPr>
          <w:ilvl w:val="0"/>
          <w:numId w:val="1003"/>
        </w:numPr>
        <w:pStyle w:val="Compact"/>
      </w:pPr>
      <w:r>
        <w:rPr>
          <w:b/>
        </w:rPr>
        <w:t xml:space="preserve">Programa de caminabilidad</w:t>
      </w:r>
      <w:r>
        <w:t xml:space="preserve">: veredas accesibles, rampas, sombra (arbolado) en barrios populares</w:t>
      </w:r>
    </w:p>
    <w:p>
      <w:pPr>
        <w:pStyle w:val="Heading3"/>
      </w:pPr>
      <w:bookmarkStart w:id="35" w:name="costeo-usd-600m-en-5-años"/>
      <w:r>
        <w:t xml:space="preserve">Costeo: USD 600M en 5 años</w:t>
      </w:r>
      <w:bookmarkEnd w:id="35"/>
    </w:p>
    <w:p>
      <w:r>
        <w:pict>
          <v:rect style="width:0;height:1.5pt" o:hralign="center" o:hrstd="t" o:hr="t"/>
        </w:pict>
      </w:r>
    </w:p>
    <w:p>
      <w:pPr>
        <w:pStyle w:val="Heading2"/>
      </w:pPr>
      <w:bookmarkStart w:id="36" w:name="X47031372d332ba840de8e59029eac92cd37e094"/>
      <w:r>
        <w:t xml:space="preserve">Política 4: Culturas Vivas — Protección y Promoción de la Diversidad Cultural</w:t>
      </w:r>
      <w:bookmarkEnd w:id="36"/>
    </w:p>
    <w:p>
      <w:pPr>
        <w:pStyle w:val="FirstParagraph"/>
      </w:pPr>
      <w:r>
        <w:rPr>
          <w:i/>
        </w:rPr>
        <w:t xml:space="preserve">Inspirada en Bután (felicidad como política), Nueva Zelanda (Living Standards Framework), y el movimiento de patrimonio vivo de la UNESCO</w:t>
      </w:r>
    </w:p>
    <w:p>
      <w:pPr>
        <w:pStyle w:val="Heading3"/>
      </w:pPr>
      <w:bookmarkStart w:id="37" w:name="qué-es-3"/>
      <w:r>
        <w:t xml:space="preserve">Qué es</w:t>
      </w:r>
      <w:bookmarkEnd w:id="37"/>
    </w:p>
    <w:p>
      <w:pPr>
        <w:pStyle w:val="FirstParagraph"/>
      </w:pPr>
      <w:r>
        <w:t xml:space="preserve">Un programa que protege y promueve la diversidad cultural argentina — desde los pueblos originarios hasta las colectividades de inmigrantes, pasando por las expresiones populares (murga, folklore, cumbia, rock) y las nuevas culturas digitales.</w:t>
      </w:r>
    </w:p>
    <w:p>
      <w:pPr>
        <w:pStyle w:val="Heading3"/>
      </w:pPr>
      <w:bookmarkStart w:id="38" w:name="diseño-para-argentina-3"/>
      <w:r>
        <w:t xml:space="preserve">Diseño para Argentina</w:t>
      </w:r>
      <w:bookmarkEnd w:id="38"/>
    </w:p>
    <w:p>
      <w:pPr>
        <w:numPr>
          <w:ilvl w:val="0"/>
          <w:numId w:val="1004"/>
        </w:numPr>
        <w:pStyle w:val="Compact"/>
      </w:pPr>
      <w:r>
        <w:rPr>
          <w:b/>
        </w:rPr>
        <w:t xml:space="preserve">Programa de Lenguas Vivas</w:t>
      </w:r>
      <w:r>
        <w:t xml:space="preserve">: preservación de las 40 lenguas indígenas, con enseñanza bilingüe en zonas con población originaria, producción de material educativo, radio y TV en lenguas originarias</w:t>
      </w:r>
    </w:p>
    <w:p>
      <w:pPr>
        <w:numPr>
          <w:ilvl w:val="0"/>
          <w:numId w:val="1004"/>
        </w:numPr>
        <w:pStyle w:val="Compact"/>
      </w:pPr>
      <w:r>
        <w:rPr>
          <w:b/>
        </w:rPr>
        <w:t xml:space="preserve">Fondo de Cultura Comunitaria</w:t>
      </w:r>
      <w:r>
        <w:t xml:space="preserve">: subsidio directo a 5.000 proyectos culturales comunitarios/año (festivales, murales, cine, música, teatro barrial)</w:t>
      </w:r>
    </w:p>
    <w:p>
      <w:pPr>
        <w:numPr>
          <w:ilvl w:val="0"/>
          <w:numId w:val="1004"/>
        </w:numPr>
        <w:pStyle w:val="Compact"/>
      </w:pPr>
      <w:r>
        <w:rPr>
          <w:b/>
        </w:rPr>
        <w:t xml:space="preserve">Registro de Patrimonio Vivo</w:t>
      </w:r>
      <w:r>
        <w:t xml:space="preserve">: documentación audiovisual de prácticas culturales en riesgo de desaparición</w:t>
      </w:r>
    </w:p>
    <w:p>
      <w:pPr>
        <w:numPr>
          <w:ilvl w:val="0"/>
          <w:numId w:val="1004"/>
        </w:numPr>
        <w:pStyle w:val="Compact"/>
      </w:pPr>
      <w:r>
        <w:rPr>
          <w:b/>
        </w:rPr>
        <w:t xml:space="preserve">Industrias culturales federales</w:t>
      </w:r>
      <w:r>
        <w:t xml:space="preserve">: apoyo a producción cultural fuera de Buenos Aires (cine regional, editoriales provinciales, músicos locales)</w:t>
      </w:r>
    </w:p>
    <w:p>
      <w:pPr>
        <w:numPr>
          <w:ilvl w:val="0"/>
          <w:numId w:val="1004"/>
        </w:numPr>
        <w:pStyle w:val="Compact"/>
      </w:pPr>
      <w:r>
        <w:rPr>
          <w:b/>
        </w:rPr>
        <w:t xml:space="preserve">Indicador de Bienestar Nacional</w:t>
      </w:r>
      <w:r>
        <w:t xml:space="preserve">: complementar el PBI con un índice de bienestar multidimensional (modelo Nueva Zelanda Living Standards Framework) que mida salud, educación, comunidad, medio ambiente, cultura, tiempo libre, seguridad</w:t>
      </w:r>
    </w:p>
    <w:p>
      <w:pPr>
        <w:pStyle w:val="Heading3"/>
      </w:pPr>
      <w:bookmarkStart w:id="39" w:name="costeo-usd-400m-en-5-años"/>
      <w:r>
        <w:t xml:space="preserve">Costeo: USD 400M en 5 años</w:t>
      </w:r>
      <w:bookmarkEnd w:id="39"/>
    </w:p>
    <w:p>
      <w:r>
        <w:pict>
          <v:rect style="width:0;height:1.5pt" o:hralign="center" o:hrstd="t" o:hr="t"/>
        </w:pict>
      </w:r>
    </w:p>
    <w:p>
      <w:pPr>
        <w:pStyle w:val="Heading2"/>
      </w:pPr>
      <w:bookmarkStart w:id="40" w:name="X23b0de054a8495da59546515cba3e2667a7cf08"/>
      <w:r>
        <w:t xml:space="preserve">Política 5: Combatir la Soledad — Comunidad para Todos</w:t>
      </w:r>
      <w:bookmarkEnd w:id="40"/>
    </w:p>
    <w:p>
      <w:pPr>
        <w:pStyle w:val="FirstParagraph"/>
      </w:pPr>
      <w:r>
        <w:rPr>
          <w:i/>
        </w:rPr>
        <w:t xml:space="preserve">Inspirada en Japón (programas contra kodokushi), Singapur (barrios intergeneracionales), Dinamarca (co-housing), UK (Minister for Loneliness)</w:t>
      </w:r>
    </w:p>
    <w:p>
      <w:pPr>
        <w:pStyle w:val="Heading3"/>
      </w:pPr>
      <w:bookmarkStart w:id="41" w:name="qué-es-4"/>
      <w:r>
        <w:t xml:space="preserve">Qué es</w:t>
      </w:r>
      <w:bookmarkEnd w:id="41"/>
    </w:p>
    <w:p>
      <w:pPr>
        <w:pStyle w:val="FirstParagraph"/>
      </w:pPr>
      <w:r>
        <w:t xml:space="preserve">La soledad es una epidemia silenciosa. En Argentina, uno de cada cinco adultos mayores vive solo. El 28% de los adolescentes reporta conductas de aislamiento riesgosas. El Reino Unido fue el primer país en crear un Ministerio de la Soledad. Japón tiene programas para evitar el kodokushi (muerte solitaria).</w:t>
      </w:r>
    </w:p>
    <w:p>
      <w:pPr>
        <w:pStyle w:val="Heading3"/>
      </w:pPr>
      <w:bookmarkStart w:id="42" w:name="diseño-para-argentina-4"/>
      <w:r>
        <w:t xml:space="preserve">Diseño para Argentina</w:t>
      </w:r>
      <w:bookmarkEnd w:id="42"/>
    </w:p>
    <w:p>
      <w:pPr>
        <w:numPr>
          <w:ilvl w:val="0"/>
          <w:numId w:val="1005"/>
        </w:numPr>
        <w:pStyle w:val="Compact"/>
      </w:pPr>
      <w:r>
        <w:rPr>
          <w:b/>
        </w:rPr>
        <w:t xml:space="preserve">Programa</w:t>
      </w:r>
      <w:r>
        <w:rPr>
          <w:b/>
        </w:rPr>
        <w:t xml:space="preserve"> </w:t>
      </w:r>
      <w:r>
        <w:rPr>
          <w:b/>
        </w:rPr>
        <w:t xml:space="preserve">“</w:t>
      </w:r>
      <w:r>
        <w:rPr>
          <w:b/>
        </w:rPr>
        <w:t xml:space="preserve">Vecinos que Cuidan</w:t>
      </w:r>
      <w:r>
        <w:rPr>
          <w:b/>
        </w:rPr>
        <w:t xml:space="preserve">”</w:t>
      </w:r>
      <w:r>
        <w:t xml:space="preserve">: red de voluntarios en cada barrio que visitan semanalmente a adultos mayores solos</w:t>
      </w:r>
    </w:p>
    <w:p>
      <w:pPr>
        <w:numPr>
          <w:ilvl w:val="0"/>
          <w:numId w:val="1005"/>
        </w:numPr>
        <w:pStyle w:val="Compact"/>
      </w:pPr>
      <w:r>
        <w:rPr>
          <w:b/>
        </w:rPr>
        <w:t xml:space="preserve">Espacios Intergeneracionales</w:t>
      </w:r>
      <w:r>
        <w:t xml:space="preserve">: vinculado con Política 03 (Vivienda) — barrios donde conviven ancianos y familias jóvenes</w:t>
      </w:r>
    </w:p>
    <w:p>
      <w:pPr>
        <w:numPr>
          <w:ilvl w:val="0"/>
          <w:numId w:val="1005"/>
        </w:numPr>
        <w:pStyle w:val="Compact"/>
      </w:pPr>
      <w:r>
        <w:rPr>
          <w:b/>
        </w:rPr>
        <w:t xml:space="preserve">Clubes de Barrio Renovados</w:t>
      </w:r>
      <w:r>
        <w:t xml:space="preserve">: financiamiento para reactivar 2.000 clubes sociales y deportivos como centros de encuentro</w:t>
      </w:r>
    </w:p>
    <w:p>
      <w:pPr>
        <w:numPr>
          <w:ilvl w:val="0"/>
          <w:numId w:val="1005"/>
        </w:numPr>
        <w:pStyle w:val="Compact"/>
      </w:pPr>
      <w:r>
        <w:rPr>
          <w:b/>
        </w:rPr>
        <w:t xml:space="preserve">Línea de acompañamiento emocional 24/7</w:t>
      </w:r>
      <w:r>
        <w:t xml:space="preserve">: no solo para crisis — para la persona que simplemente necesita hablar con alguien</w:t>
      </w:r>
    </w:p>
    <w:p>
      <w:pPr>
        <w:numPr>
          <w:ilvl w:val="0"/>
          <w:numId w:val="1005"/>
        </w:numPr>
        <w:pStyle w:val="Compact"/>
      </w:pPr>
      <w:r>
        <w:rPr>
          <w:b/>
        </w:rPr>
        <w:t xml:space="preserve">Huerta y cocina comunitaria</w:t>
      </w:r>
      <w:r>
        <w:t xml:space="preserve">: 500 espacios donde vecinos cultivan, cocinan y comen juntos</w:t>
      </w:r>
    </w:p>
    <w:p>
      <w:pPr>
        <w:pStyle w:val="Heading3"/>
      </w:pPr>
      <w:bookmarkStart w:id="43" w:name="costeo-usd-700m-en-5-años"/>
      <w:r>
        <w:t xml:space="preserve">Costeo: USD 700M en 5 años</w:t>
      </w:r>
      <w:bookmarkEnd w:id="43"/>
    </w:p>
    <w:p>
      <w:r>
        <w:pict>
          <v:rect style="width:0;height:1.5pt" o:hralign="center" o:hrstd="t" o:hr="t"/>
        </w:pict>
      </w:r>
    </w:p>
    <w:p>
      <w:pPr>
        <w:pStyle w:val="Heading2"/>
      </w:pPr>
      <w:bookmarkStart w:id="44" w:name="resumen-comunidad-cultura-y-tiempo-libre"/>
      <w:r>
        <w:t xml:space="preserve">Resumen: Comunidad, Cultura y Tiempo Libre</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Política</w:t>
            </w:r>
          </w:p>
        </w:tc>
        <w:tc>
          <w:tcPr>
            <w:tcBorders>
              <w:bottom w:val="single"/>
            </w:tcBorders>
            <w:vAlign w:val="bottom"/>
          </w:tcPr>
          <w:p>
            <w:pPr>
              <w:pStyle w:val="Compact"/>
              <w:jc w:val="left"/>
            </w:pPr>
            <w:r>
              <w:t xml:space="preserve">Inversión 5 años</w:t>
            </w:r>
          </w:p>
        </w:tc>
      </w:tr>
      <w:tr>
        <w:tc>
          <w:p>
            <w:pPr>
              <w:pStyle w:val="Compact"/>
              <w:jc w:val="left"/>
            </w:pPr>
            <w:r>
              <w:t xml:space="preserve">1. Bibliotecas del Siglo XXI</w:t>
            </w:r>
          </w:p>
        </w:tc>
        <w:tc>
          <w:p>
            <w:pPr>
              <w:pStyle w:val="Compact"/>
              <w:jc w:val="left"/>
            </w:pPr>
            <w:r>
              <w:t xml:space="preserve">USD 800M</w:t>
            </w:r>
          </w:p>
        </w:tc>
      </w:tr>
      <w:tr>
        <w:tc>
          <w:p>
            <w:pPr>
              <w:pStyle w:val="Compact"/>
              <w:jc w:val="left"/>
            </w:pPr>
            <w:r>
              <w:t xml:space="preserve">2. Modelo Islandés de Prevención</w:t>
            </w:r>
          </w:p>
        </w:tc>
        <w:tc>
          <w:p>
            <w:pPr>
              <w:pStyle w:val="Compact"/>
              <w:jc w:val="left"/>
            </w:pPr>
            <w:r>
              <w:t xml:space="preserve">USD 500M</w:t>
            </w:r>
          </w:p>
        </w:tc>
      </w:tr>
      <w:tr>
        <w:tc>
          <w:p>
            <w:pPr>
              <w:pStyle w:val="Compact"/>
              <w:jc w:val="left"/>
            </w:pPr>
            <w:r>
              <w:t xml:space="preserve">3. Espacio Público (Ciclovías, Plazas, Supermanzanas)</w:t>
            </w:r>
          </w:p>
        </w:tc>
        <w:tc>
          <w:p>
            <w:pPr>
              <w:pStyle w:val="Compact"/>
              <w:jc w:val="left"/>
            </w:pPr>
            <w:r>
              <w:t xml:space="preserve">USD 600M</w:t>
            </w:r>
          </w:p>
        </w:tc>
      </w:tr>
      <w:tr>
        <w:tc>
          <w:p>
            <w:pPr>
              <w:pStyle w:val="Compact"/>
              <w:jc w:val="left"/>
            </w:pPr>
            <w:r>
              <w:t xml:space="preserve">4. Culturas Vivas</w:t>
            </w:r>
          </w:p>
        </w:tc>
        <w:tc>
          <w:p>
            <w:pPr>
              <w:pStyle w:val="Compact"/>
              <w:jc w:val="left"/>
            </w:pPr>
            <w:r>
              <w:t xml:space="preserve">USD 400M</w:t>
            </w:r>
          </w:p>
        </w:tc>
      </w:tr>
      <w:tr>
        <w:tc>
          <w:p>
            <w:pPr>
              <w:pStyle w:val="Compact"/>
              <w:jc w:val="left"/>
            </w:pPr>
            <w:r>
              <w:t xml:space="preserve">5. Combatir la Soledad</w:t>
            </w:r>
          </w:p>
        </w:tc>
        <w:tc>
          <w:p>
            <w:pPr>
              <w:pStyle w:val="Compact"/>
              <w:jc w:val="left"/>
            </w:pPr>
            <w:r>
              <w:t xml:space="preserve">USD 700M</w:t>
            </w:r>
          </w:p>
        </w:tc>
      </w:tr>
      <w:tr>
        <w:tc>
          <w:p>
            <w:pPr>
              <w:pStyle w:val="Compact"/>
              <w:jc w:val="left"/>
            </w:pPr>
            <w:r>
              <w:rPr>
                <w:b/>
              </w:rPr>
              <w:t xml:space="preserve">Total</w:t>
            </w:r>
          </w:p>
        </w:tc>
        <w:tc>
          <w:p>
            <w:pPr>
              <w:pStyle w:val="Compact"/>
              <w:jc w:val="left"/>
            </w:pPr>
            <w:r>
              <w:rPr>
                <w:b/>
              </w:rPr>
              <w:t xml:space="preserve">USD 3.000M</w:t>
            </w:r>
          </w:p>
        </w:tc>
      </w:tr>
    </w:tbl>
    <w:p>
      <w:r>
        <w:pict>
          <v:rect style="width:0;height:1.5pt" o:hralign="center" o:hrstd="t" o:hr="t"/>
        </w:pict>
      </w:r>
    </w:p>
    <w:p>
      <w:pPr>
        <w:pStyle w:val="FirstParagraph"/>
      </w:pPr>
      <w:r>
        <w:rPr>
          <w:i/>
        </w:rPr>
        <w:t xml:space="preserve">La prosperidad no se mide solo en PBI. Se mide en si tenés un lugar donde ir, alguien con quien hablar, algo que te inspire, y tiempo para disfrutarlo. Un país próspero es un país donde nadie está solo.</w:t>
      </w:r>
    </w:p>
    <w:p>
      <w:r>
        <w:pict>
          <v:rect style="width:0;height:1.5pt" o:hralign="center" o:hrstd="t" o:hr="t"/>
        </w:pict>
      </w:r>
    </w:p>
    <w:p>
      <w:pPr>
        <w:pStyle w:val="FirstParagraph"/>
      </w:pPr>
      <w:r>
        <w:rPr>
          <w:i/>
        </w:rPr>
        <w:t xml:space="preserve">Documento creado: Febrero 2026</w:t>
      </w:r>
      <w:r>
        <w:t xml:space="preserve"> </w:t>
      </w:r>
      <w:r>
        <w:rPr>
          <w:i/>
        </w:rPr>
        <w:t xml:space="preserve">Proyecto Argentina Próspera 2027-2031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2026-02-28T18:25:21Z</dcterms:created>
  <dcterms:modified xsi:type="dcterms:W3CDTF">2026-02-28T18:25:21Z</dcterms:modified>
</cp:coreProperties>
</file>

<file path=docProps/custom.xml><?xml version="1.0" encoding="utf-8"?>
<Properties xmlns="http://schemas.openxmlformats.org/officeDocument/2006/custom-properties" xmlns:vt="http://schemas.openxmlformats.org/officeDocument/2006/docPropsVTypes"/>
</file>