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e-de-factibilidad-integrado"/>
      <w:r>
        <w:t xml:space="preserve">Informe de Factibilidad Integrado</w:t>
      </w:r>
      <w:bookmarkEnd w:id="20"/>
    </w:p>
    <w:p>
      <w:pPr>
        <w:pStyle w:val="Heading2"/>
      </w:pPr>
      <w:bookmarkStart w:id="21" w:name="Xe6778d0fcc5ca2265a16021e74756ee956805ef"/>
      <w:r>
        <w:t xml:space="preserve">Argentina Próspera 2027-2031 — Documento de Síntesis 13</w:t>
      </w:r>
      <w:bookmarkEnd w:id="21"/>
    </w:p>
    <w:p>
      <w:r>
        <w:pict>
          <v:rect style="width:0;height:1.5pt" o:hralign="center" o:hrstd="t" o:hr="t"/>
        </w:pict>
      </w:r>
    </w:p>
    <w:p>
      <w:pPr>
        <w:pStyle w:val="Heading2"/>
      </w:pPr>
      <w:bookmarkStart w:id="22" w:name="X333a48311821582ed438ebed82d1b0d73786e9d"/>
      <w:r>
        <w:t xml:space="preserve">¿Es posible? La pregunta que hay que responder con números</w:t>
      </w:r>
      <w:bookmarkEnd w:id="22"/>
    </w:p>
    <w:p>
      <w:pPr>
        <w:pStyle w:val="FirstParagraph"/>
      </w:pPr>
      <w:r>
        <w:t xml:space="preserve">Este documento cruza los 10 análisis sectoriales y responde la pregunta más importante: ¿es viable? No como expresión de deseo, sino como análisis duro de costos, financiamiento, capacidad de ejecución y retorno esperado.</w:t>
      </w:r>
    </w:p>
    <w:p>
      <w:pPr>
        <w:pStyle w:val="BodyText"/>
      </w:pPr>
      <w:r>
        <w:t xml:space="preserve">La conclusión:</w:t>
      </w:r>
      <w:r>
        <w:t xml:space="preserve"> </w:t>
      </w:r>
      <w:r>
        <w:rPr>
          <w:b/>
        </w:rPr>
        <w:t xml:space="preserve">Argentina Próspera es ambicioso pero factible.</w:t>
      </w:r>
      <w:r>
        <w:t xml:space="preserve"> </w:t>
      </w:r>
      <w:r>
        <w:t xml:space="preserve">Requiere USD 82.122 millones en 5 años (USD 16.424 millones/año), equivalente al 2,5% del PBI. Se financia sin emisión monetaria ni endeudamiento insostenible, a través de reforma tributaria progresiva, reducción de evasión, redireccionamiento de subsidios regresivos, y atracción de inversión internacional. El plan no solo se paga — genera superávit fiscal.</w:t>
      </w:r>
    </w:p>
    <w:p>
      <w:r>
        <w:pict>
          <v:rect style="width:0;height:1.5pt" o:hralign="center" o:hrstd="t" o:hr="t"/>
        </w:pict>
      </w:r>
    </w:p>
    <w:p>
      <w:pPr>
        <w:pStyle w:val="Heading2"/>
      </w:pPr>
      <w:bookmarkStart w:id="23" w:name="inversión-total-por-sector"/>
      <w:r>
        <w:t xml:space="preserve">1. Inversión Total por Sector</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Inversión 5 años (USD M)</w:t>
            </w:r>
          </w:p>
        </w:tc>
        <w:tc>
          <w:tcPr>
            <w:tcBorders>
              <w:bottom w:val="single"/>
            </w:tcBorders>
            <w:vAlign w:val="bottom"/>
          </w:tcPr>
          <w:p>
            <w:pPr>
              <w:pStyle w:val="Compact"/>
              <w:jc w:val="left"/>
            </w:pPr>
            <w:r>
              <w:t xml:space="preserve">% del total</w:t>
            </w:r>
          </w:p>
        </w:tc>
        <w:tc>
          <w:tcPr>
            <w:tcBorders>
              <w:bottom w:val="single"/>
            </w:tcBorders>
            <w:vAlign w:val="bottom"/>
          </w:tcPr>
          <w:p>
            <w:pPr>
              <w:pStyle w:val="Compact"/>
              <w:jc w:val="left"/>
            </w:pPr>
            <w:r>
              <w:t xml:space="preserve">USD/año</w:t>
            </w:r>
          </w:p>
        </w:tc>
      </w:tr>
      <w:tr>
        <w:tc>
          <w:p>
            <w:pPr>
              <w:pStyle w:val="Compact"/>
              <w:jc w:val="left"/>
            </w:pPr>
            <w:r>
              <w:t xml:space="preserve">03</w:t>
            </w:r>
          </w:p>
        </w:tc>
        <w:tc>
          <w:p>
            <w:pPr>
              <w:pStyle w:val="Compact"/>
              <w:jc w:val="left"/>
            </w:pPr>
            <w:r>
              <w:t xml:space="preserve">Vivienda y Hábitat Digno</w:t>
            </w:r>
          </w:p>
        </w:tc>
        <w:tc>
          <w:p>
            <w:pPr>
              <w:pStyle w:val="Compact"/>
              <w:jc w:val="left"/>
            </w:pPr>
            <w:r>
              <w:t xml:space="preserve">10.895</w:t>
            </w:r>
          </w:p>
        </w:tc>
        <w:tc>
          <w:p>
            <w:pPr>
              <w:pStyle w:val="Compact"/>
              <w:jc w:val="left"/>
            </w:pPr>
            <w:r>
              <w:t xml:space="preserve">13,3%</w:t>
            </w:r>
          </w:p>
        </w:tc>
        <w:tc>
          <w:p>
            <w:pPr>
              <w:pStyle w:val="Compact"/>
              <w:jc w:val="left"/>
            </w:pPr>
            <w:r>
              <w:t xml:space="preserve">2.179</w:t>
            </w:r>
          </w:p>
        </w:tc>
      </w:tr>
      <w:tr>
        <w:tc>
          <w:p>
            <w:pPr>
              <w:pStyle w:val="Compact"/>
              <w:jc w:val="left"/>
            </w:pPr>
            <w:r>
              <w:t xml:space="preserve">04</w:t>
            </w:r>
          </w:p>
        </w:tc>
        <w:tc>
          <w:p>
            <w:pPr>
              <w:pStyle w:val="Compact"/>
              <w:jc w:val="left"/>
            </w:pPr>
            <w:r>
              <w:t xml:space="preserve">Salud para Todos</w:t>
            </w:r>
          </w:p>
        </w:tc>
        <w:tc>
          <w:p>
            <w:pPr>
              <w:pStyle w:val="Compact"/>
              <w:jc w:val="left"/>
            </w:pPr>
            <w:r>
              <w:t xml:space="preserve">4.560</w:t>
            </w:r>
          </w:p>
        </w:tc>
        <w:tc>
          <w:p>
            <w:pPr>
              <w:pStyle w:val="Compact"/>
              <w:jc w:val="left"/>
            </w:pPr>
            <w:r>
              <w:t xml:space="preserve">5,6%</w:t>
            </w:r>
          </w:p>
        </w:tc>
        <w:tc>
          <w:p>
            <w:pPr>
              <w:pStyle w:val="Compact"/>
              <w:jc w:val="left"/>
            </w:pPr>
            <w:r>
              <w:t xml:space="preserve">912</w:t>
            </w:r>
          </w:p>
        </w:tc>
      </w:tr>
      <w:tr>
        <w:tc>
          <w:p>
            <w:pPr>
              <w:pStyle w:val="Compact"/>
              <w:jc w:val="left"/>
            </w:pPr>
            <w:r>
              <w:t xml:space="preserve">04a</w:t>
            </w:r>
          </w:p>
        </w:tc>
        <w:tc>
          <w:p>
            <w:pPr>
              <w:pStyle w:val="Compact"/>
              <w:jc w:val="left"/>
            </w:pPr>
            <w:r>
              <w:t xml:space="preserve">CAITMA (AI + Investigación Médica)</w:t>
            </w:r>
          </w:p>
        </w:tc>
        <w:tc>
          <w:p>
            <w:pPr>
              <w:pStyle w:val="Compact"/>
              <w:jc w:val="left"/>
            </w:pPr>
            <w:r>
              <w:t xml:space="preserve">117</w:t>
            </w:r>
          </w:p>
        </w:tc>
        <w:tc>
          <w:p>
            <w:pPr>
              <w:pStyle w:val="Compact"/>
              <w:jc w:val="left"/>
            </w:pPr>
            <w:r>
              <w:t xml:space="preserve">0,1%</w:t>
            </w:r>
          </w:p>
        </w:tc>
        <w:tc>
          <w:p>
            <w:pPr>
              <w:pStyle w:val="Compact"/>
              <w:jc w:val="left"/>
            </w:pPr>
            <w:r>
              <w:t xml:space="preserve">23</w:t>
            </w:r>
          </w:p>
        </w:tc>
      </w:tr>
      <w:tr>
        <w:tc>
          <w:p>
            <w:pPr>
              <w:pStyle w:val="Compact"/>
              <w:jc w:val="left"/>
            </w:pPr>
            <w:r>
              <w:t xml:space="preserve">05</w:t>
            </w:r>
          </w:p>
        </w:tc>
        <w:tc>
          <w:p>
            <w:pPr>
              <w:pStyle w:val="Compact"/>
              <w:jc w:val="left"/>
            </w:pPr>
            <w:r>
              <w:t xml:space="preserve">Educación para el Futuro</w:t>
            </w:r>
          </w:p>
        </w:tc>
        <w:tc>
          <w:p>
            <w:pPr>
              <w:pStyle w:val="Compact"/>
              <w:jc w:val="left"/>
            </w:pPr>
            <w:r>
              <w:t xml:space="preserve">10.800</w:t>
            </w:r>
          </w:p>
        </w:tc>
        <w:tc>
          <w:p>
            <w:pPr>
              <w:pStyle w:val="Compact"/>
              <w:jc w:val="left"/>
            </w:pPr>
            <w:r>
              <w:t xml:space="preserve">13,1%</w:t>
            </w:r>
          </w:p>
        </w:tc>
        <w:tc>
          <w:p>
            <w:pPr>
              <w:pStyle w:val="Compact"/>
              <w:jc w:val="left"/>
            </w:pPr>
            <w:r>
              <w:t xml:space="preserve">2.160</w:t>
            </w:r>
          </w:p>
        </w:tc>
      </w:tr>
      <w:tr>
        <w:tc>
          <w:p>
            <w:pPr>
              <w:pStyle w:val="Compact"/>
              <w:jc w:val="left"/>
            </w:pPr>
            <w:r>
              <w:t xml:space="preserve">06</w:t>
            </w:r>
          </w:p>
        </w:tc>
        <w:tc>
          <w:p>
            <w:pPr>
              <w:pStyle w:val="Compact"/>
              <w:jc w:val="left"/>
            </w:pPr>
            <w:r>
              <w:t xml:space="preserve">Trabajo, Producción y Economía</w:t>
            </w:r>
          </w:p>
        </w:tc>
        <w:tc>
          <w:p>
            <w:pPr>
              <w:pStyle w:val="Compact"/>
              <w:jc w:val="left"/>
            </w:pPr>
            <w:r>
              <w:t xml:space="preserve">29.275</w:t>
            </w:r>
          </w:p>
        </w:tc>
        <w:tc>
          <w:p>
            <w:pPr>
              <w:pStyle w:val="Compact"/>
              <w:jc w:val="left"/>
            </w:pPr>
            <w:r>
              <w:t xml:space="preserve">35,6%</w:t>
            </w:r>
          </w:p>
        </w:tc>
        <w:tc>
          <w:p>
            <w:pPr>
              <w:pStyle w:val="Compact"/>
              <w:jc w:val="left"/>
            </w:pPr>
            <w:r>
              <w:t xml:space="preserve">5.855</w:t>
            </w:r>
          </w:p>
        </w:tc>
      </w:tr>
      <w:tr>
        <w:tc>
          <w:p>
            <w:pPr>
              <w:pStyle w:val="Compact"/>
              <w:jc w:val="left"/>
            </w:pPr>
            <w:r>
              <w:t xml:space="preserve">07</w:t>
            </w:r>
          </w:p>
        </w:tc>
        <w:tc>
          <w:p>
            <w:pPr>
              <w:pStyle w:val="Compact"/>
              <w:jc w:val="left"/>
            </w:pPr>
            <w:r>
              <w:t xml:space="preserve">Ambiente y Adaptación Climática</w:t>
            </w:r>
          </w:p>
        </w:tc>
        <w:tc>
          <w:p>
            <w:pPr>
              <w:pStyle w:val="Compact"/>
              <w:jc w:val="left"/>
            </w:pPr>
            <w:r>
              <w:t xml:space="preserve">13.400</w:t>
            </w:r>
          </w:p>
        </w:tc>
        <w:tc>
          <w:p>
            <w:pPr>
              <w:pStyle w:val="Compact"/>
              <w:jc w:val="left"/>
            </w:pPr>
            <w:r>
              <w:t xml:space="preserve">16,3%</w:t>
            </w:r>
          </w:p>
        </w:tc>
        <w:tc>
          <w:p>
            <w:pPr>
              <w:pStyle w:val="Compact"/>
              <w:jc w:val="left"/>
            </w:pPr>
            <w:r>
              <w:t xml:space="preserve">2.680</w:t>
            </w:r>
          </w:p>
        </w:tc>
      </w:tr>
      <w:tr>
        <w:tc>
          <w:p>
            <w:pPr>
              <w:pStyle w:val="Compact"/>
              <w:jc w:val="left"/>
            </w:pPr>
            <w:r>
              <w:t xml:space="preserve">08</w:t>
            </w:r>
          </w:p>
        </w:tc>
        <w:tc>
          <w:p>
            <w:pPr>
              <w:pStyle w:val="Compact"/>
              <w:jc w:val="left"/>
            </w:pPr>
            <w:r>
              <w:t xml:space="preserve">Seguridad y Convivencia</w:t>
            </w:r>
          </w:p>
        </w:tc>
        <w:tc>
          <w:p>
            <w:pPr>
              <w:pStyle w:val="Compact"/>
              <w:jc w:val="left"/>
            </w:pPr>
            <w:r>
              <w:t xml:space="preserve">3.525</w:t>
            </w:r>
          </w:p>
        </w:tc>
        <w:tc>
          <w:p>
            <w:pPr>
              <w:pStyle w:val="Compact"/>
              <w:jc w:val="left"/>
            </w:pPr>
            <w:r>
              <w:t xml:space="preserve">4,3%</w:t>
            </w:r>
          </w:p>
        </w:tc>
        <w:tc>
          <w:p>
            <w:pPr>
              <w:pStyle w:val="Compact"/>
              <w:jc w:val="left"/>
            </w:pPr>
            <w:r>
              <w:t xml:space="preserve">705</w:t>
            </w:r>
          </w:p>
        </w:tc>
      </w:tr>
      <w:tr>
        <w:tc>
          <w:p>
            <w:pPr>
              <w:pStyle w:val="Compact"/>
              <w:jc w:val="left"/>
            </w:pPr>
            <w:r>
              <w:t xml:space="preserve">09</w:t>
            </w:r>
          </w:p>
        </w:tc>
        <w:tc>
          <w:p>
            <w:pPr>
              <w:pStyle w:val="Compact"/>
              <w:jc w:val="left"/>
            </w:pPr>
            <w:r>
              <w:t xml:space="preserve">Gobierno Inteligente</w:t>
            </w:r>
          </w:p>
        </w:tc>
        <w:tc>
          <w:p>
            <w:pPr>
              <w:pStyle w:val="Compact"/>
              <w:jc w:val="left"/>
            </w:pPr>
            <w:r>
              <w:t xml:space="preserve">4.050</w:t>
            </w:r>
          </w:p>
        </w:tc>
        <w:tc>
          <w:p>
            <w:pPr>
              <w:pStyle w:val="Compact"/>
              <w:jc w:val="left"/>
            </w:pPr>
            <w:r>
              <w:t xml:space="preserve">4,9%</w:t>
            </w:r>
          </w:p>
        </w:tc>
        <w:tc>
          <w:p>
            <w:pPr>
              <w:pStyle w:val="Compact"/>
              <w:jc w:val="left"/>
            </w:pPr>
            <w:r>
              <w:t xml:space="preserve">810</w:t>
            </w:r>
          </w:p>
        </w:tc>
      </w:tr>
      <w:tr>
        <w:tc>
          <w:p>
            <w:pPr>
              <w:pStyle w:val="Compact"/>
              <w:jc w:val="left"/>
            </w:pPr>
            <w:r>
              <w:t xml:space="preserve">11</w:t>
            </w:r>
          </w:p>
        </w:tc>
        <w:tc>
          <w:p>
            <w:pPr>
              <w:pStyle w:val="Compact"/>
              <w:jc w:val="left"/>
            </w:pPr>
            <w:r>
              <w:t xml:space="preserve">Argentina en el Mundo</w:t>
            </w:r>
          </w:p>
        </w:tc>
        <w:tc>
          <w:p>
            <w:pPr>
              <w:pStyle w:val="Compact"/>
              <w:jc w:val="left"/>
            </w:pPr>
            <w:r>
              <w:t xml:space="preserve">2.500</w:t>
            </w:r>
          </w:p>
        </w:tc>
        <w:tc>
          <w:p>
            <w:pPr>
              <w:pStyle w:val="Compact"/>
              <w:jc w:val="left"/>
            </w:pPr>
            <w:r>
              <w:t xml:space="preserve">3,0%</w:t>
            </w:r>
          </w:p>
        </w:tc>
        <w:tc>
          <w:p>
            <w:pPr>
              <w:pStyle w:val="Compact"/>
              <w:jc w:val="left"/>
            </w:pPr>
            <w:r>
              <w:t xml:space="preserve">500</w:t>
            </w:r>
          </w:p>
        </w:tc>
      </w:tr>
      <w:tr>
        <w:tc>
          <w:p>
            <w:pPr>
              <w:pStyle w:val="Compact"/>
              <w:jc w:val="left"/>
            </w:pPr>
            <w:r>
              <w:t xml:space="preserve">12</w:t>
            </w:r>
          </w:p>
        </w:tc>
        <w:tc>
          <w:p>
            <w:pPr>
              <w:pStyle w:val="Compact"/>
              <w:jc w:val="left"/>
            </w:pPr>
            <w:r>
              <w:t xml:space="preserve">Comunidad, Cultura y Tiempo Libre</w:t>
            </w:r>
          </w:p>
        </w:tc>
        <w:tc>
          <w:p>
            <w:pPr>
              <w:pStyle w:val="Compact"/>
              <w:jc w:val="left"/>
            </w:pPr>
            <w:r>
              <w:t xml:space="preserve">3.000</w:t>
            </w:r>
          </w:p>
        </w:tc>
        <w:tc>
          <w:p>
            <w:pPr>
              <w:pStyle w:val="Compact"/>
              <w:jc w:val="left"/>
            </w:pPr>
            <w:r>
              <w:t xml:space="preserve">3,7%</w:t>
            </w:r>
          </w:p>
        </w:tc>
        <w:tc>
          <w:p>
            <w:pPr>
              <w:pStyle w:val="Compact"/>
              <w:jc w:val="left"/>
            </w:pPr>
            <w:r>
              <w:t xml:space="preserve">600</w:t>
            </w:r>
          </w:p>
        </w:tc>
      </w:tr>
      <w:tr>
        <w:tc>
          <w:p/>
        </w:tc>
        <w:tc>
          <w:p>
            <w:pPr>
              <w:pStyle w:val="Compact"/>
              <w:jc w:val="left"/>
            </w:pPr>
            <w:r>
              <w:rPr>
                <w:b/>
              </w:rPr>
              <w:t xml:space="preserve">TOTAL</w:t>
            </w:r>
          </w:p>
        </w:tc>
        <w:tc>
          <w:p>
            <w:pPr>
              <w:pStyle w:val="Compact"/>
              <w:jc w:val="left"/>
            </w:pPr>
            <w:r>
              <w:rPr>
                <w:b/>
              </w:rPr>
              <w:t xml:space="preserve">82.122</w:t>
            </w:r>
          </w:p>
        </w:tc>
        <w:tc>
          <w:p>
            <w:pPr>
              <w:pStyle w:val="Compact"/>
              <w:jc w:val="left"/>
            </w:pPr>
            <w:r>
              <w:rPr>
                <w:b/>
              </w:rPr>
              <w:t xml:space="preserve">100%</w:t>
            </w:r>
          </w:p>
        </w:tc>
        <w:tc>
          <w:p>
            <w:pPr>
              <w:pStyle w:val="Compact"/>
              <w:jc w:val="left"/>
            </w:pPr>
            <w:r>
              <w:rPr>
                <w:b/>
              </w:rPr>
              <w:t xml:space="preserve">16.424</w:t>
            </w:r>
          </w:p>
        </w:tc>
      </w:tr>
    </w:tbl>
    <w:p>
      <w:pPr>
        <w:pStyle w:val="Heading3"/>
      </w:pPr>
      <w:bookmarkStart w:id="24" w:name="lectura-de-la-tabla"/>
      <w:r>
        <w:t xml:space="preserve">Lectura de la tabla</w:t>
      </w:r>
      <w:bookmarkEnd w:id="24"/>
    </w:p>
    <w:p>
      <w:pPr>
        <w:pStyle w:val="FirstParagraph"/>
      </w:pPr>
      <w:r>
        <w:t xml:space="preserve">El sector más costoso es</w:t>
      </w:r>
      <w:r>
        <w:t xml:space="preserve"> </w:t>
      </w:r>
      <w:r>
        <w:rPr>
          <w:b/>
        </w:rPr>
        <w:t xml:space="preserve">Trabajo, Producción y Economía</w:t>
      </w:r>
      <w:r>
        <w:t xml:space="preserve"> </w:t>
      </w:r>
      <w:r>
        <w:t xml:space="preserve">(35,6%), porque incluye la Garantía de Empleo Comunitario — el programa más ambicioso del plan, con 500.000 empleos garantizados. Le siguen</w:t>
      </w:r>
      <w:r>
        <w:t xml:space="preserve"> </w:t>
      </w:r>
      <w:r>
        <w:rPr>
          <w:b/>
        </w:rPr>
        <w:t xml:space="preserve">Ambiente</w:t>
      </w:r>
      <w:r>
        <w:t xml:space="preserve"> </w:t>
      </w:r>
      <w:r>
        <w:t xml:space="preserve">(16,3%),</w:t>
      </w:r>
      <w:r>
        <w:t xml:space="preserve"> </w:t>
      </w:r>
      <w:r>
        <w:rPr>
          <w:b/>
        </w:rPr>
        <w:t xml:space="preserve">Vivienda</w:t>
      </w:r>
      <w:r>
        <w:t xml:space="preserve"> </w:t>
      </w:r>
      <w:r>
        <w:t xml:space="preserve">(13,3%) y</w:t>
      </w:r>
      <w:r>
        <w:t xml:space="preserve"> </w:t>
      </w:r>
      <w:r>
        <w:rPr>
          <w:b/>
        </w:rPr>
        <w:t xml:space="preserve">Educación</w:t>
      </w:r>
      <w:r>
        <w:t xml:space="preserve"> </w:t>
      </w:r>
      <w:r>
        <w:t xml:space="preserve">(13,1%). Estos cuatro sectores concentran el 78,3% de la inversión total.</w:t>
      </w:r>
    </w:p>
    <w:p>
      <w:pPr>
        <w:pStyle w:val="BodyText"/>
      </w:pPr>
      <w:r>
        <w:t xml:space="preserve">Los sectores de menor costo absoluto — CAITMA, Gobierno, Seguridad — no son menos importantes: tienen alto retorno por peso invertido y generan condiciones para que los demás funcionen.</w:t>
      </w:r>
    </w:p>
    <w:p>
      <w:r>
        <w:pict>
          <v:rect style="width:0;height:1.5pt" o:hralign="center" o:hrstd="t" o:hr="t"/>
        </w:pict>
      </w:r>
    </w:p>
    <w:p>
      <w:pPr>
        <w:pStyle w:val="Heading2"/>
      </w:pPr>
      <w:bookmarkStart w:id="25" w:name="fuentes-de-financiamiento"/>
      <w:r>
        <w:t xml:space="preserve">2. Fuentes de Financiamiento</w:t>
      </w:r>
      <w:bookmarkEnd w:id="25"/>
    </w:p>
    <w:p>
      <w:pPr>
        <w:pStyle w:val="FirstParagraph"/>
      </w:pPr>
      <w:r>
        <w:t xml:space="preserve">El Documento 10 (Fiscalidad) detalla cinco instrumentos fiscales. Aquí se presenta el balance consolidado.</w:t>
      </w:r>
    </w:p>
    <w:p>
      <w:pPr>
        <w:pStyle w:val="Heading3"/>
      </w:pPr>
      <w:bookmarkStart w:id="26" w:name="ingresos-nuevos-anuales"/>
      <w:r>
        <w:t xml:space="preserve">2.1 Ingresos nuevos anuales</w:t>
      </w:r>
      <w:bookmarkEnd w:id="26"/>
    </w:p>
    <w:tbl>
      <w:tblPr>
        <w:tblStyle w:val="Table"/>
        <w:tblW w:type="pct" w:w="5000.0"/>
        <w:tblLook w:firstRow="1"/>
      </w:tblPr>
      <w:tblGrid>
        <w:gridCol w:w="2288"/>
        <w:gridCol w:w="3696"/>
        <w:gridCol w:w="1936"/>
      </w:tblGrid>
      <w:tr>
        <w:trPr>
          <w:cnfStyle w:firstRow="1"/>
        </w:trPr>
        <w:tc>
          <w:tcPr>
            <w:tcBorders>
              <w:bottom w:val="single"/>
            </w:tcBorders>
            <w:vAlign w:val="bottom"/>
          </w:tcPr>
          <w:p>
            <w:pPr>
              <w:pStyle w:val="Compact"/>
              <w:jc w:val="left"/>
            </w:pPr>
            <w:r>
              <w:t xml:space="preserve">Instrumento</w:t>
            </w:r>
          </w:p>
        </w:tc>
        <w:tc>
          <w:tcPr>
            <w:tcBorders>
              <w:bottom w:val="single"/>
            </w:tcBorders>
            <w:vAlign w:val="bottom"/>
          </w:tcPr>
          <w:p>
            <w:pPr>
              <w:pStyle w:val="Compact"/>
              <w:jc w:val="left"/>
            </w:pPr>
            <w:r>
              <w:t xml:space="preserve">Monto anual (USD M)</w:t>
            </w:r>
          </w:p>
        </w:tc>
        <w:tc>
          <w:tcPr>
            <w:tcBorders>
              <w:bottom w:val="single"/>
            </w:tcBorders>
            <w:vAlign w:val="bottom"/>
          </w:tcPr>
          <w:p>
            <w:pPr>
              <w:pStyle w:val="Compact"/>
              <w:jc w:val="left"/>
            </w:pPr>
            <w:r>
              <w:t xml:space="preserve">Confianza</w:t>
            </w:r>
          </w:p>
        </w:tc>
      </w:tr>
      <w:tr>
        <w:tc>
          <w:p>
            <w:pPr>
              <w:pStyle w:val="Compact"/>
              <w:jc w:val="left"/>
            </w:pPr>
            <w:r>
              <w:t xml:space="preserve">Impuesto permanente a patrimonios &gt;USD 5M</w:t>
            </w:r>
          </w:p>
        </w:tc>
        <w:tc>
          <w:p>
            <w:pPr>
              <w:pStyle w:val="Compact"/>
              <w:jc w:val="left"/>
            </w:pPr>
            <w:r>
              <w:t xml:space="preserve">2.500</w:t>
            </w:r>
          </w:p>
        </w:tc>
        <w:tc>
          <w:p>
            <w:pPr>
              <w:pStyle w:val="Compact"/>
              <w:jc w:val="left"/>
            </w:pPr>
            <w:r>
              <w:t xml:space="preserve">Alta (modelo Suiza/Noruega)</w:t>
            </w:r>
          </w:p>
        </w:tc>
      </w:tr>
      <w:tr>
        <w:tc>
          <w:p>
            <w:pPr>
              <w:pStyle w:val="Compact"/>
              <w:jc w:val="left"/>
            </w:pPr>
            <w:r>
              <w:t xml:space="preserve">Reducción de evasión fiscal (IVA + Ganancias)</w:t>
            </w:r>
          </w:p>
        </w:tc>
        <w:tc>
          <w:p>
            <w:pPr>
              <w:pStyle w:val="Compact"/>
              <w:jc w:val="left"/>
            </w:pPr>
            <w:r>
              <w:t xml:space="preserve">3.000</w:t>
            </w:r>
          </w:p>
        </w:tc>
        <w:tc>
          <w:p>
            <w:pPr>
              <w:pStyle w:val="Compact"/>
              <w:jc w:val="left"/>
            </w:pPr>
            <w:r>
              <w:t xml:space="preserve">Alta (modelo Brasil/Estonia)</w:t>
            </w:r>
          </w:p>
        </w:tc>
      </w:tr>
      <w:tr>
        <w:tc>
          <w:p>
            <w:pPr>
              <w:pStyle w:val="Compact"/>
              <w:jc w:val="left"/>
            </w:pPr>
            <w:r>
              <w:t xml:space="preserve">Impuesto al carbono (USD 15-30/ton CO₂)</w:t>
            </w:r>
          </w:p>
        </w:tc>
        <w:tc>
          <w:p>
            <w:pPr>
              <w:pStyle w:val="Compact"/>
              <w:jc w:val="left"/>
            </w:pPr>
            <w:r>
              <w:t xml:space="preserve">1.000</w:t>
            </w:r>
          </w:p>
        </w:tc>
        <w:tc>
          <w:p>
            <w:pPr>
              <w:pStyle w:val="Compact"/>
              <w:jc w:val="left"/>
            </w:pPr>
            <w:r>
              <w:t xml:space="preserve">Media-Alta (modelo Suecia/Colombia)</w:t>
            </w:r>
          </w:p>
        </w:tc>
      </w:tr>
      <w:tr>
        <w:tc>
          <w:p>
            <w:pPr>
              <w:pStyle w:val="Compact"/>
              <w:jc w:val="left"/>
            </w:pPr>
            <w:r>
              <w:t xml:space="preserve">Eliminación de subsidios energéticos regresivos</w:t>
            </w:r>
          </w:p>
        </w:tc>
        <w:tc>
          <w:p>
            <w:pPr>
              <w:pStyle w:val="Compact"/>
              <w:jc w:val="left"/>
            </w:pPr>
            <w:r>
              <w:t xml:space="preserve">2.500</w:t>
            </w:r>
          </w:p>
        </w:tc>
        <w:tc>
          <w:p>
            <w:pPr>
              <w:pStyle w:val="Compact"/>
              <w:jc w:val="left"/>
            </w:pPr>
            <w:r>
              <w:t xml:space="preserve">Alta (ahorro directo)</w:t>
            </w:r>
          </w:p>
        </w:tc>
      </w:tr>
      <w:tr>
        <w:tc>
          <w:p>
            <w:pPr>
              <w:pStyle w:val="Compact"/>
              <w:jc w:val="left"/>
            </w:pPr>
            <w:r>
              <w:t xml:space="preserve">Captura de valor del suelo + bonos verdes + bonos de impacto</w:t>
            </w:r>
          </w:p>
        </w:tc>
        <w:tc>
          <w:p>
            <w:pPr>
              <w:pStyle w:val="Compact"/>
              <w:jc w:val="left"/>
            </w:pPr>
            <w:r>
              <w:t xml:space="preserve">2.000</w:t>
            </w:r>
          </w:p>
        </w:tc>
        <w:tc>
          <w:p>
            <w:pPr>
              <w:pStyle w:val="Compact"/>
              <w:jc w:val="left"/>
            </w:pPr>
            <w:r>
              <w:t xml:space="preserve">Media (depende de condiciones de mercado)</w:t>
            </w:r>
          </w:p>
        </w:tc>
      </w:tr>
      <w:tr>
        <w:tc>
          <w:p>
            <w:pPr>
              <w:pStyle w:val="Compact"/>
              <w:jc w:val="left"/>
            </w:pPr>
            <w:r>
              <w:rPr>
                <w:b/>
              </w:rPr>
              <w:t xml:space="preserve">Subtotal ingresos nuevos</w:t>
            </w:r>
          </w:p>
        </w:tc>
        <w:tc>
          <w:p>
            <w:pPr>
              <w:pStyle w:val="Compact"/>
              <w:jc w:val="left"/>
            </w:pPr>
            <w:r>
              <w:rPr>
                <w:b/>
              </w:rPr>
              <w:t xml:space="preserve">11.000</w:t>
            </w:r>
          </w:p>
        </w:tc>
        <w:tc>
          <w:p/>
        </w:tc>
      </w:tr>
    </w:tbl>
    <w:p>
      <w:pPr>
        <w:pStyle w:val="Heading3"/>
      </w:pPr>
      <w:bookmarkStart w:id="27" w:name="otras-fuentes-anuales"/>
      <w:r>
        <w:t xml:space="preserve">2.2 Otras fuentes anuales</w:t>
      </w:r>
      <w:bookmarkEnd w:id="27"/>
    </w:p>
    <w:tbl>
      <w:tblPr>
        <w:tblStyle w:val="Table"/>
        <w:tblW w:type="pct" w:w="5000.0"/>
        <w:tblLook w:firstRow="1"/>
      </w:tblPr>
      <w:tblGrid>
        <w:gridCol w:w="1508"/>
        <w:gridCol w:w="3960"/>
        <w:gridCol w:w="2451"/>
      </w:tblGrid>
      <w:tr>
        <w:trPr>
          <w:cnfStyle w:firstRow="1"/>
        </w:trPr>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Monto anual (USD M)</w:t>
            </w:r>
          </w:p>
        </w:tc>
        <w:tc>
          <w:tcPr>
            <w:tcBorders>
              <w:bottom w:val="single"/>
            </w:tcBorders>
            <w:vAlign w:val="bottom"/>
          </w:tcPr>
          <w:p>
            <w:pPr>
              <w:pStyle w:val="Compact"/>
              <w:jc w:val="left"/>
            </w:pPr>
            <w:r>
              <w:t xml:space="preserve">Descripción</w:t>
            </w:r>
          </w:p>
        </w:tc>
      </w:tr>
      <w:tr>
        <w:tc>
          <w:p>
            <w:pPr>
              <w:pStyle w:val="Compact"/>
              <w:jc w:val="left"/>
            </w:pPr>
            <w:r>
              <w:t xml:space="preserve">Redireccionamiento de gasto existente</w:t>
            </w:r>
          </w:p>
        </w:tc>
        <w:tc>
          <w:p>
            <w:pPr>
              <w:pStyle w:val="Compact"/>
              <w:jc w:val="left"/>
            </w:pPr>
            <w:r>
              <w:t xml:space="preserve">3.000</w:t>
            </w:r>
          </w:p>
        </w:tc>
        <w:tc>
          <w:p>
            <w:pPr>
              <w:pStyle w:val="Compact"/>
              <w:jc w:val="left"/>
            </w:pPr>
            <w:r>
              <w:t xml:space="preserve">Priorización dentro del 40%+ del PBI que ya gasta el Estado</w:t>
            </w:r>
          </w:p>
        </w:tc>
      </w:tr>
      <w:tr>
        <w:tc>
          <w:p>
            <w:pPr>
              <w:pStyle w:val="Compact"/>
              <w:jc w:val="left"/>
            </w:pPr>
            <w:r>
              <w:t xml:space="preserve">Organismos multilaterales</w:t>
            </w:r>
          </w:p>
        </w:tc>
        <w:tc>
          <w:p>
            <w:pPr>
              <w:pStyle w:val="Compact"/>
              <w:jc w:val="left"/>
            </w:pPr>
            <w:r>
              <w:t xml:space="preserve">2.000</w:t>
            </w:r>
          </w:p>
        </w:tc>
        <w:tc>
          <w:p>
            <w:pPr>
              <w:pStyle w:val="Compact"/>
              <w:jc w:val="left"/>
            </w:pPr>
            <w:r>
              <w:t xml:space="preserve">BID, Banco Mundial, CAF, Green Climate Fund — préstamos blandos para infraestructura, ambiente, salud</w:t>
            </w:r>
          </w:p>
        </w:tc>
      </w:tr>
      <w:tr>
        <w:tc>
          <w:p>
            <w:pPr>
              <w:pStyle w:val="Compact"/>
              <w:jc w:val="left"/>
            </w:pPr>
            <w:r>
              <w:t xml:space="preserve">Financiamiento privado (PPP + cooperación)</w:t>
            </w:r>
          </w:p>
        </w:tc>
        <w:tc>
          <w:p>
            <w:pPr>
              <w:pStyle w:val="Compact"/>
              <w:jc w:val="left"/>
            </w:pPr>
            <w:r>
              <w:t xml:space="preserve">2.000</w:t>
            </w:r>
          </w:p>
        </w:tc>
        <w:tc>
          <w:p>
            <w:pPr>
              <w:pStyle w:val="Compact"/>
              <w:jc w:val="left"/>
            </w:pPr>
            <w:r>
              <w:t xml:space="preserve">Participación público-privada en energías renovables, vivienda, tecnología, turismo</w:t>
            </w:r>
          </w:p>
        </w:tc>
      </w:tr>
      <w:tr>
        <w:tc>
          <w:p>
            <w:pPr>
              <w:pStyle w:val="Compact"/>
              <w:jc w:val="left"/>
            </w:pPr>
            <w:r>
              <w:rPr>
                <w:b/>
              </w:rPr>
              <w:t xml:space="preserve">Subtotal otras fuentes</w:t>
            </w:r>
          </w:p>
        </w:tc>
        <w:tc>
          <w:p>
            <w:pPr>
              <w:pStyle w:val="Compact"/>
              <w:jc w:val="left"/>
            </w:pPr>
            <w:r>
              <w:rPr>
                <w:b/>
              </w:rPr>
              <w:t xml:space="preserve">7.000</w:t>
            </w:r>
          </w:p>
        </w:tc>
        <w:tc>
          <w:p/>
        </w:tc>
      </w:tr>
    </w:tbl>
    <w:p>
      <w:pPr>
        <w:pStyle w:val="Heading3"/>
      </w:pPr>
      <w:bookmarkStart w:id="28" w:name="balance-fiscal-consolidado"/>
      <w:r>
        <w:t xml:space="preserve">2.3 Balance fiscal consolidado</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Concepto</w:t>
            </w:r>
          </w:p>
        </w:tc>
        <w:tc>
          <w:tcPr>
            <w:tcBorders>
              <w:bottom w:val="single"/>
            </w:tcBorders>
            <w:vAlign w:val="bottom"/>
          </w:tcPr>
          <w:p>
            <w:pPr>
              <w:pStyle w:val="Compact"/>
              <w:jc w:val="left"/>
            </w:pPr>
            <w:r>
              <w:t xml:space="preserve">Monto anual (USD M)</w:t>
            </w:r>
          </w:p>
        </w:tc>
      </w:tr>
      <w:tr>
        <w:tc>
          <w:p>
            <w:pPr>
              <w:pStyle w:val="Compact"/>
              <w:jc w:val="left"/>
            </w:pPr>
            <w:r>
              <w:rPr>
                <w:b/>
              </w:rPr>
              <w:t xml:space="preserve">Gasto nuevo requerido</w:t>
            </w:r>
          </w:p>
        </w:tc>
        <w:tc>
          <w:p>
            <w:pPr>
              <w:pStyle w:val="Compact"/>
              <w:jc w:val="left"/>
            </w:pPr>
            <w:r>
              <w:rPr>
                <w:b/>
              </w:rPr>
              <w:t xml:space="preserve">16.424</w:t>
            </w:r>
          </w:p>
        </w:tc>
      </w:tr>
      <w:tr>
        <w:tc>
          <w:p>
            <w:pPr>
              <w:pStyle w:val="Compact"/>
              <w:jc w:val="left"/>
            </w:pPr>
            <w:r>
              <w:t xml:space="preserve">Ingresos nuevos</w:t>
            </w:r>
          </w:p>
        </w:tc>
        <w:tc>
          <w:p>
            <w:pPr>
              <w:pStyle w:val="Compact"/>
              <w:jc w:val="left"/>
            </w:pPr>
            <w:r>
              <w:t xml:space="preserve">11.000</w:t>
            </w:r>
          </w:p>
        </w:tc>
      </w:tr>
      <w:tr>
        <w:tc>
          <w:p>
            <w:pPr>
              <w:pStyle w:val="Compact"/>
              <w:jc w:val="left"/>
            </w:pPr>
            <w:r>
              <w:t xml:space="preserve">Otras fuentes</w:t>
            </w:r>
          </w:p>
        </w:tc>
        <w:tc>
          <w:p>
            <w:pPr>
              <w:pStyle w:val="Compact"/>
              <w:jc w:val="left"/>
            </w:pPr>
            <w:r>
              <w:t xml:space="preserve">7.000</w:t>
            </w:r>
          </w:p>
        </w:tc>
      </w:tr>
      <w:tr>
        <w:tc>
          <w:p>
            <w:pPr>
              <w:pStyle w:val="Compact"/>
              <w:jc w:val="left"/>
            </w:pPr>
            <w:r>
              <w:rPr>
                <w:b/>
              </w:rPr>
              <w:t xml:space="preserve">Total financiamiento disponible</w:t>
            </w:r>
          </w:p>
        </w:tc>
        <w:tc>
          <w:p>
            <w:pPr>
              <w:pStyle w:val="Compact"/>
              <w:jc w:val="left"/>
            </w:pPr>
            <w:r>
              <w:rPr>
                <w:b/>
              </w:rPr>
              <w:t xml:space="preserve">18.000</w:t>
            </w:r>
          </w:p>
        </w:tc>
      </w:tr>
      <w:tr>
        <w:tc>
          <w:p>
            <w:pPr>
              <w:pStyle w:val="Compact"/>
              <w:jc w:val="left"/>
            </w:pPr>
            <w:r>
              <w:rPr>
                <w:b/>
              </w:rPr>
              <w:t xml:space="preserve">Balance</w:t>
            </w:r>
          </w:p>
        </w:tc>
        <w:tc>
          <w:p>
            <w:pPr>
              <w:pStyle w:val="Compact"/>
              <w:jc w:val="left"/>
            </w:pPr>
            <w:r>
              <w:rPr>
                <w:b/>
              </w:rPr>
              <w:t xml:space="preserve">+1.576 (superávit)</w:t>
            </w:r>
          </w:p>
        </w:tc>
      </w:tr>
    </w:tbl>
    <w:p>
      <w:pPr>
        <w:pStyle w:val="BodyText"/>
      </w:pPr>
      <w:r>
        <w:t xml:space="preserve">El superávit de USD 1.576M/año funciona como colchón para contingencias, sobrecostos y variaciones en la recaudación.</w:t>
      </w:r>
    </w:p>
    <w:p>
      <w:r>
        <w:pict>
          <v:rect style="width:0;height:1.5pt" o:hralign="center" o:hrstd="t" o:hr="t"/>
        </w:pict>
      </w:r>
    </w:p>
    <w:p>
      <w:pPr>
        <w:pStyle w:val="Heading2"/>
      </w:pPr>
      <w:bookmarkStart w:id="29" w:name="análisis-de-sensibilidad"/>
      <w:r>
        <w:t xml:space="preserve">3. Análisis de Sensibilidad</w:t>
      </w:r>
      <w:bookmarkEnd w:id="29"/>
    </w:p>
    <w:p>
      <w:pPr>
        <w:pStyle w:val="FirstParagraph"/>
      </w:pPr>
      <w:r>
        <w:t xml:space="preserve">¿Qué pasa si las cosas no salen como se planean?</w:t>
      </w:r>
    </w:p>
    <w:p>
      <w:pPr>
        <w:pStyle w:val="Heading3"/>
      </w:pPr>
      <w:bookmarkStart w:id="30" w:name="escenario-pesimista-recaudación-20-menor"/>
      <w:r>
        <w:t xml:space="preserve">Escenario pesimista (recaudación 20% menor)</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Variable</w:t>
            </w:r>
          </w:p>
        </w:tc>
        <w:tc>
          <w:tcPr>
            <w:tcBorders>
              <w:bottom w:val="single"/>
            </w:tcBorders>
            <w:vAlign w:val="bottom"/>
          </w:tcPr>
          <w:p>
            <w:pPr>
              <w:pStyle w:val="Compact"/>
              <w:jc w:val="left"/>
            </w:pPr>
            <w:r>
              <w:t xml:space="preserve">Optimista</w:t>
            </w:r>
          </w:p>
        </w:tc>
        <w:tc>
          <w:tcPr>
            <w:tcBorders>
              <w:bottom w:val="single"/>
            </w:tcBorders>
            <w:vAlign w:val="bottom"/>
          </w:tcPr>
          <w:p>
            <w:pPr>
              <w:pStyle w:val="Compact"/>
              <w:jc w:val="left"/>
            </w:pPr>
            <w:r>
              <w:t xml:space="preserve">Base</w:t>
            </w:r>
          </w:p>
        </w:tc>
        <w:tc>
          <w:tcPr>
            <w:tcBorders>
              <w:bottom w:val="single"/>
            </w:tcBorders>
            <w:vAlign w:val="bottom"/>
          </w:tcPr>
          <w:p>
            <w:pPr>
              <w:pStyle w:val="Compact"/>
              <w:jc w:val="left"/>
            </w:pPr>
            <w:r>
              <w:t xml:space="preserve">Pesimista</w:t>
            </w:r>
          </w:p>
        </w:tc>
      </w:tr>
      <w:tr>
        <w:tc>
          <w:p>
            <w:pPr>
              <w:pStyle w:val="Compact"/>
              <w:jc w:val="left"/>
            </w:pPr>
            <w:r>
              <w:t xml:space="preserve">Impuesto patrimonios</w:t>
            </w:r>
          </w:p>
        </w:tc>
        <w:tc>
          <w:p>
            <w:pPr>
              <w:pStyle w:val="Compact"/>
              <w:jc w:val="left"/>
            </w:pPr>
            <w:r>
              <w:t xml:space="preserve">3.000</w:t>
            </w:r>
          </w:p>
        </w:tc>
        <w:tc>
          <w:p>
            <w:pPr>
              <w:pStyle w:val="Compact"/>
              <w:jc w:val="left"/>
            </w:pPr>
            <w:r>
              <w:t xml:space="preserve">2.500</w:t>
            </w:r>
          </w:p>
        </w:tc>
        <w:tc>
          <w:p>
            <w:pPr>
              <w:pStyle w:val="Compact"/>
              <w:jc w:val="left"/>
            </w:pPr>
            <w:r>
              <w:t xml:space="preserve">2.000</w:t>
            </w:r>
          </w:p>
        </w:tc>
      </w:tr>
      <w:tr>
        <w:tc>
          <w:p>
            <w:pPr>
              <w:pStyle w:val="Compact"/>
              <w:jc w:val="left"/>
            </w:pPr>
            <w:r>
              <w:t xml:space="preserve">Reducción evasión</w:t>
            </w:r>
          </w:p>
        </w:tc>
        <w:tc>
          <w:p>
            <w:pPr>
              <w:pStyle w:val="Compact"/>
              <w:jc w:val="left"/>
            </w:pPr>
            <w:r>
              <w:t xml:space="preserve">4.000</w:t>
            </w:r>
          </w:p>
        </w:tc>
        <w:tc>
          <w:p>
            <w:pPr>
              <w:pStyle w:val="Compact"/>
              <w:jc w:val="left"/>
            </w:pPr>
            <w:r>
              <w:t xml:space="preserve">3.000</w:t>
            </w:r>
          </w:p>
        </w:tc>
        <w:tc>
          <w:p>
            <w:pPr>
              <w:pStyle w:val="Compact"/>
              <w:jc w:val="left"/>
            </w:pPr>
            <w:r>
              <w:t xml:space="preserve">2.400</w:t>
            </w:r>
          </w:p>
        </w:tc>
      </w:tr>
      <w:tr>
        <w:tc>
          <w:p>
            <w:pPr>
              <w:pStyle w:val="Compact"/>
              <w:jc w:val="left"/>
            </w:pPr>
            <w:r>
              <w:t xml:space="preserve">Carbon tax</w:t>
            </w:r>
          </w:p>
        </w:tc>
        <w:tc>
          <w:p>
            <w:pPr>
              <w:pStyle w:val="Compact"/>
              <w:jc w:val="left"/>
            </w:pPr>
            <w:r>
              <w:t xml:space="preserve">1.500</w:t>
            </w:r>
          </w:p>
        </w:tc>
        <w:tc>
          <w:p>
            <w:pPr>
              <w:pStyle w:val="Compact"/>
              <w:jc w:val="left"/>
            </w:pPr>
            <w:r>
              <w:t xml:space="preserve">1.000</w:t>
            </w:r>
          </w:p>
        </w:tc>
        <w:tc>
          <w:p>
            <w:pPr>
              <w:pStyle w:val="Compact"/>
              <w:jc w:val="left"/>
            </w:pPr>
            <w:r>
              <w:t xml:space="preserve">500</w:t>
            </w:r>
          </w:p>
        </w:tc>
      </w:tr>
      <w:tr>
        <w:tc>
          <w:p>
            <w:pPr>
              <w:pStyle w:val="Compact"/>
              <w:jc w:val="left"/>
            </w:pPr>
            <w:r>
              <w:t xml:space="preserve">Subsidios regresivos</w:t>
            </w:r>
          </w:p>
        </w:tc>
        <w:tc>
          <w:p>
            <w:pPr>
              <w:pStyle w:val="Compact"/>
              <w:jc w:val="left"/>
            </w:pPr>
            <w:r>
              <w:t xml:space="preserve">3.000</w:t>
            </w:r>
          </w:p>
        </w:tc>
        <w:tc>
          <w:p>
            <w:pPr>
              <w:pStyle w:val="Compact"/>
              <w:jc w:val="left"/>
            </w:pPr>
            <w:r>
              <w:t xml:space="preserve">2.500</w:t>
            </w:r>
          </w:p>
        </w:tc>
        <w:tc>
          <w:p>
            <w:pPr>
              <w:pStyle w:val="Compact"/>
              <w:jc w:val="left"/>
            </w:pPr>
            <w:r>
              <w:t xml:space="preserve">2.000</w:t>
            </w:r>
          </w:p>
        </w:tc>
      </w:tr>
      <w:tr>
        <w:tc>
          <w:p>
            <w:pPr>
              <w:pStyle w:val="Compact"/>
              <w:jc w:val="left"/>
            </w:pPr>
            <w:r>
              <w:t xml:space="preserve">Captura valor + bonos</w:t>
            </w:r>
          </w:p>
        </w:tc>
        <w:tc>
          <w:p>
            <w:pPr>
              <w:pStyle w:val="Compact"/>
              <w:jc w:val="left"/>
            </w:pPr>
            <w:r>
              <w:t xml:space="preserve">3.000</w:t>
            </w:r>
          </w:p>
        </w:tc>
        <w:tc>
          <w:p>
            <w:pPr>
              <w:pStyle w:val="Compact"/>
              <w:jc w:val="left"/>
            </w:pPr>
            <w:r>
              <w:t xml:space="preserve">2.000</w:t>
            </w:r>
          </w:p>
        </w:tc>
        <w:tc>
          <w:p>
            <w:pPr>
              <w:pStyle w:val="Compact"/>
              <w:jc w:val="left"/>
            </w:pPr>
            <w:r>
              <w:t xml:space="preserve">1.000</w:t>
            </w:r>
          </w:p>
        </w:tc>
      </w:tr>
      <w:tr>
        <w:tc>
          <w:p>
            <w:pPr>
              <w:pStyle w:val="Compact"/>
              <w:jc w:val="left"/>
            </w:pPr>
            <w:r>
              <w:rPr>
                <w:b/>
              </w:rPr>
              <w:t xml:space="preserve">Total ingresos nuevos</w:t>
            </w:r>
          </w:p>
        </w:tc>
        <w:tc>
          <w:p>
            <w:pPr>
              <w:pStyle w:val="Compact"/>
              <w:jc w:val="left"/>
            </w:pPr>
            <w:r>
              <w:rPr>
                <w:b/>
              </w:rPr>
              <w:t xml:space="preserve">14.500</w:t>
            </w:r>
          </w:p>
        </w:tc>
        <w:tc>
          <w:p>
            <w:pPr>
              <w:pStyle w:val="Compact"/>
              <w:jc w:val="left"/>
            </w:pPr>
            <w:r>
              <w:rPr>
                <w:b/>
              </w:rPr>
              <w:t xml:space="preserve">11.000</w:t>
            </w:r>
          </w:p>
        </w:tc>
        <w:tc>
          <w:p>
            <w:pPr>
              <w:pStyle w:val="Compact"/>
              <w:jc w:val="left"/>
            </w:pPr>
            <w:r>
              <w:rPr>
                <w:b/>
              </w:rPr>
              <w:t xml:space="preserve">7.900</w:t>
            </w:r>
          </w:p>
        </w:tc>
      </w:tr>
      <w:tr>
        <w:tc>
          <w:p>
            <w:pPr>
              <w:pStyle w:val="Compact"/>
              <w:jc w:val="left"/>
            </w:pPr>
            <w:r>
              <w:t xml:space="preserve">+ Otras fuentes</w:t>
            </w:r>
          </w:p>
        </w:tc>
        <w:tc>
          <w:p>
            <w:pPr>
              <w:pStyle w:val="Compact"/>
              <w:jc w:val="left"/>
            </w:pPr>
            <w:r>
              <w:t xml:space="preserve">7.000</w:t>
            </w:r>
          </w:p>
        </w:tc>
        <w:tc>
          <w:p>
            <w:pPr>
              <w:pStyle w:val="Compact"/>
              <w:jc w:val="left"/>
            </w:pPr>
            <w:r>
              <w:t xml:space="preserve">7.000</w:t>
            </w:r>
          </w:p>
        </w:tc>
        <w:tc>
          <w:p>
            <w:pPr>
              <w:pStyle w:val="Compact"/>
              <w:jc w:val="left"/>
            </w:pPr>
            <w:r>
              <w:t xml:space="preserve">5.600</w:t>
            </w:r>
          </w:p>
        </w:tc>
      </w:tr>
      <w:tr>
        <w:tc>
          <w:p>
            <w:pPr>
              <w:pStyle w:val="Compact"/>
              <w:jc w:val="left"/>
            </w:pPr>
            <w:r>
              <w:rPr>
                <w:b/>
              </w:rPr>
              <w:t xml:space="preserve">Total financiamiento</w:t>
            </w:r>
          </w:p>
        </w:tc>
        <w:tc>
          <w:p>
            <w:pPr>
              <w:pStyle w:val="Compact"/>
              <w:jc w:val="left"/>
            </w:pPr>
            <w:r>
              <w:rPr>
                <w:b/>
              </w:rPr>
              <w:t xml:space="preserve">21.500</w:t>
            </w:r>
          </w:p>
        </w:tc>
        <w:tc>
          <w:p>
            <w:pPr>
              <w:pStyle w:val="Compact"/>
              <w:jc w:val="left"/>
            </w:pPr>
            <w:r>
              <w:rPr>
                <w:b/>
              </w:rPr>
              <w:t xml:space="preserve">18.000</w:t>
            </w:r>
          </w:p>
        </w:tc>
        <w:tc>
          <w:p>
            <w:pPr>
              <w:pStyle w:val="Compact"/>
              <w:jc w:val="left"/>
            </w:pPr>
            <w:r>
              <w:rPr>
                <w:b/>
              </w:rPr>
              <w:t xml:space="preserve">13.500</w:t>
            </w:r>
          </w:p>
        </w:tc>
      </w:tr>
      <w:tr>
        <w:tc>
          <w:p>
            <w:pPr>
              <w:pStyle w:val="Compact"/>
              <w:jc w:val="left"/>
            </w:pPr>
            <w:r>
              <w:rPr>
                <w:b/>
              </w:rPr>
              <w:t xml:space="preserve">Balance vs gasto</w:t>
            </w:r>
          </w:p>
        </w:tc>
        <w:tc>
          <w:p>
            <w:pPr>
              <w:pStyle w:val="Compact"/>
              <w:jc w:val="left"/>
            </w:pPr>
            <w:r>
              <w:rPr>
                <w:b/>
              </w:rPr>
              <w:t xml:space="preserve">+5.076</w:t>
            </w:r>
          </w:p>
        </w:tc>
        <w:tc>
          <w:p>
            <w:pPr>
              <w:pStyle w:val="Compact"/>
              <w:jc w:val="left"/>
            </w:pPr>
            <w:r>
              <w:rPr>
                <w:b/>
              </w:rPr>
              <w:t xml:space="preserve">+1.576</w:t>
            </w:r>
          </w:p>
        </w:tc>
        <w:tc>
          <w:p>
            <w:pPr>
              <w:pStyle w:val="Compact"/>
              <w:jc w:val="left"/>
            </w:pPr>
            <w:r>
              <w:rPr>
                <w:b/>
              </w:rPr>
              <w:t xml:space="preserve">-2.924</w:t>
            </w:r>
          </w:p>
        </w:tc>
      </w:tr>
    </w:tbl>
    <w:p>
      <w:pPr>
        <w:pStyle w:val="BodyText"/>
      </w:pPr>
      <w:r>
        <w:t xml:space="preserve">En el escenario pesimista, el déficit de USD 2.924M/año (0,45% del PBI) es manejable y podría cubrirse con: (a) desaceleración de programas menos urgentes, (b) mayor financiamiento multilateral, o (c) emisión moderada de deuda soberana en un contexto de superávit comercial.</w:t>
      </w:r>
    </w:p>
    <w:p>
      <w:pPr>
        <w:pStyle w:val="BodyText"/>
      </w:pPr>
      <w:r>
        <w:t xml:space="preserve">En el escenario optimista, el superávit de USD 5.076M/año permitiría acelerar programas o reducir la presión tributaria.</w:t>
      </w:r>
    </w:p>
    <w:p>
      <w:pPr>
        <w:pStyle w:val="Heading3"/>
      </w:pPr>
      <w:bookmarkStart w:id="31" w:name="riesgos-específicos-y-mitigación"/>
      <w:r>
        <w:t xml:space="preserve">Riesgos específicos y mitigación</w:t>
      </w:r>
      <w:bookmarkEnd w:id="31"/>
    </w:p>
    <w:tbl>
      <w:tblPr>
        <w:tblStyle w:val="Table"/>
        <w:tblW w:type="pct" w:w="5000.0"/>
        <w:tblLook w:firstRow="1"/>
      </w:tblPr>
      <w:tblGrid>
        <w:gridCol w:w="1508"/>
        <w:gridCol w:w="2451"/>
        <w:gridCol w:w="1697"/>
        <w:gridCol w:w="2262"/>
      </w:tblGrid>
      <w:tr>
        <w:trPr>
          <w:cnfStyle w:firstRow="1"/>
        </w:trPr>
        <w:tc>
          <w:tcPr>
            <w:tcBorders>
              <w:bottom w:val="single"/>
            </w:tcBorders>
            <w:vAlign w:val="bottom"/>
          </w:tcPr>
          <w:p>
            <w:pPr>
              <w:pStyle w:val="Compact"/>
              <w:jc w:val="left"/>
            </w:pPr>
            <w:r>
              <w:t xml:space="preserve">Riesgo</w:t>
            </w:r>
          </w:p>
        </w:tc>
        <w:tc>
          <w:tcPr>
            <w:tcBorders>
              <w:bottom w:val="single"/>
            </w:tcBorders>
            <w:vAlign w:val="bottom"/>
          </w:tcPr>
          <w:p>
            <w:pPr>
              <w:pStyle w:val="Compact"/>
              <w:jc w:val="left"/>
            </w:pPr>
            <w:r>
              <w:t xml:space="preserve">Probabilidad</w:t>
            </w:r>
          </w:p>
        </w:tc>
        <w:tc>
          <w:tcPr>
            <w:tcBorders>
              <w:bottom w:val="single"/>
            </w:tcBorders>
            <w:vAlign w:val="bottom"/>
          </w:tcPr>
          <w:p>
            <w:pPr>
              <w:pStyle w:val="Compact"/>
              <w:jc w:val="left"/>
            </w:pPr>
            <w:r>
              <w:t xml:space="preserve">Impacto</w:t>
            </w:r>
          </w:p>
        </w:tc>
        <w:tc>
          <w:tcPr>
            <w:tcBorders>
              <w:bottom w:val="single"/>
            </w:tcBorders>
            <w:vAlign w:val="bottom"/>
          </w:tcPr>
          <w:p>
            <w:pPr>
              <w:pStyle w:val="Compact"/>
              <w:jc w:val="left"/>
            </w:pPr>
            <w:r>
              <w:t xml:space="preserve">Mitigación</w:t>
            </w:r>
          </w:p>
        </w:tc>
      </w:tr>
      <w:tr>
        <w:tc>
          <w:p>
            <w:pPr>
              <w:pStyle w:val="Compact"/>
              <w:jc w:val="left"/>
            </w:pPr>
            <w:r>
              <w:t xml:space="preserve">Fuga de capitales por impuesto patrimonial</w:t>
            </w:r>
          </w:p>
        </w:tc>
        <w:tc>
          <w:p>
            <w:pPr>
              <w:pStyle w:val="Compact"/>
              <w:jc w:val="left"/>
            </w:pPr>
            <w:r>
              <w:t xml:space="preserve">Media</w:t>
            </w:r>
          </w:p>
        </w:tc>
        <w:tc>
          <w:p>
            <w:pPr>
              <w:pStyle w:val="Compact"/>
              <w:jc w:val="left"/>
            </w:pPr>
            <w:r>
              <w:t xml:space="preserve">Alto</w:t>
            </w:r>
          </w:p>
        </w:tc>
        <w:tc>
          <w:p>
            <w:pPr>
              <w:pStyle w:val="Compact"/>
              <w:jc w:val="left"/>
            </w:pPr>
            <w:r>
              <w:t xml:space="preserve">Tasas menores que Noruega + acuerdo OCDE impuesto mínimo global + incentivos reinversión productiva</w:t>
            </w:r>
          </w:p>
        </w:tc>
      </w:tr>
      <w:tr>
        <w:tc>
          <w:p>
            <w:pPr>
              <w:pStyle w:val="Compact"/>
              <w:jc w:val="left"/>
            </w:pPr>
            <w:r>
              <w:t xml:space="preserve">Resistencia política a eliminación subsidios</w:t>
            </w:r>
          </w:p>
        </w:tc>
        <w:tc>
          <w:p>
            <w:pPr>
              <w:pStyle w:val="Compact"/>
              <w:jc w:val="left"/>
            </w:pPr>
            <w:r>
              <w:t xml:space="preserve">Alta</w:t>
            </w:r>
          </w:p>
        </w:tc>
        <w:tc>
          <w:p>
            <w:pPr>
              <w:pStyle w:val="Compact"/>
              <w:jc w:val="left"/>
            </w:pPr>
            <w:r>
              <w:t xml:space="preserve">Medio</w:t>
            </w:r>
          </w:p>
        </w:tc>
        <w:tc>
          <w:p>
            <w:pPr>
              <w:pStyle w:val="Compact"/>
              <w:jc w:val="left"/>
            </w:pPr>
            <w:r>
              <w:t xml:space="preserve">Transición gradual (3 años) + mantenimiento tarifa social para 40% más pobre</w:t>
            </w:r>
          </w:p>
        </w:tc>
      </w:tr>
      <w:tr>
        <w:tc>
          <w:p>
            <w:pPr>
              <w:pStyle w:val="Compact"/>
              <w:jc w:val="left"/>
            </w:pPr>
            <w:r>
              <w:t xml:space="preserve">Caída del precio del litio</w:t>
            </w:r>
          </w:p>
        </w:tc>
        <w:tc>
          <w:p>
            <w:pPr>
              <w:pStyle w:val="Compact"/>
              <w:jc w:val="left"/>
            </w:pPr>
            <w:r>
              <w:t xml:space="preserve">Media</w:t>
            </w:r>
          </w:p>
        </w:tc>
        <w:tc>
          <w:p>
            <w:pPr>
              <w:pStyle w:val="Compact"/>
              <w:jc w:val="left"/>
            </w:pPr>
            <w:r>
              <w:t xml:space="preserve">Medio</w:t>
            </w:r>
          </w:p>
        </w:tc>
        <w:tc>
          <w:p>
            <w:pPr>
              <w:pStyle w:val="Compact"/>
              <w:jc w:val="left"/>
            </w:pPr>
            <w:r>
              <w:t xml:space="preserve">Diversificación de exportaciones + fondo soberano como buffer</w:t>
            </w:r>
          </w:p>
        </w:tc>
      </w:tr>
      <w:tr>
        <w:tc>
          <w:p>
            <w:pPr>
              <w:pStyle w:val="Compact"/>
              <w:jc w:val="left"/>
            </w:pPr>
            <w:r>
              <w:t xml:space="preserve">Crisis económica global</w:t>
            </w:r>
          </w:p>
        </w:tc>
        <w:tc>
          <w:p>
            <w:pPr>
              <w:pStyle w:val="Compact"/>
              <w:jc w:val="left"/>
            </w:pPr>
            <w:r>
              <w:t xml:space="preserve">Media</w:t>
            </w:r>
          </w:p>
        </w:tc>
        <w:tc>
          <w:p>
            <w:pPr>
              <w:pStyle w:val="Compact"/>
              <w:jc w:val="left"/>
            </w:pPr>
            <w:r>
              <w:t xml:space="preserve">Alto</w:t>
            </w:r>
          </w:p>
        </w:tc>
        <w:tc>
          <w:p>
            <w:pPr>
              <w:pStyle w:val="Compact"/>
              <w:jc w:val="left"/>
            </w:pPr>
            <w:r>
              <w:t xml:space="preserve">Garantía de Empleo como estabilizador automático + diversificación de fuentes</w:t>
            </w:r>
          </w:p>
        </w:tc>
      </w:tr>
      <w:tr>
        <w:tc>
          <w:p>
            <w:pPr>
              <w:pStyle w:val="Compact"/>
              <w:jc w:val="left"/>
            </w:pPr>
            <w:r>
              <w:t xml:space="preserve">Resistencia burocrática a digitalización</w:t>
            </w:r>
          </w:p>
        </w:tc>
        <w:tc>
          <w:p>
            <w:pPr>
              <w:pStyle w:val="Compact"/>
              <w:jc w:val="left"/>
            </w:pPr>
            <w:r>
              <w:t xml:space="preserve">Alta</w:t>
            </w:r>
          </w:p>
        </w:tc>
        <w:tc>
          <w:p>
            <w:pPr>
              <w:pStyle w:val="Compact"/>
              <w:jc w:val="left"/>
            </w:pPr>
            <w:r>
              <w:t xml:space="preserve">Bajo</w:t>
            </w:r>
          </w:p>
        </w:tc>
        <w:tc>
          <w:p>
            <w:pPr>
              <w:pStyle w:val="Compact"/>
              <w:jc w:val="left"/>
            </w:pPr>
            <w:r>
              <w:t xml:space="preserve">Incentivos + formación + implementación gradual</w:t>
            </w:r>
          </w:p>
        </w:tc>
      </w:tr>
      <w:tr>
        <w:tc>
          <w:p>
            <w:pPr>
              <w:pStyle w:val="Compact"/>
              <w:jc w:val="left"/>
            </w:pPr>
            <w:r>
              <w:t xml:space="preserve">Cambio climático más agresivo de lo previsto</w:t>
            </w:r>
          </w:p>
        </w:tc>
        <w:tc>
          <w:p>
            <w:pPr>
              <w:pStyle w:val="Compact"/>
              <w:jc w:val="left"/>
            </w:pPr>
            <w:r>
              <w:t xml:space="preserve">Media-Alta</w:t>
            </w:r>
          </w:p>
        </w:tc>
        <w:tc>
          <w:p>
            <w:pPr>
              <w:pStyle w:val="Compact"/>
              <w:jc w:val="left"/>
            </w:pPr>
            <w:r>
              <w:t xml:space="preserve">Alto</w:t>
            </w:r>
          </w:p>
        </w:tc>
        <w:tc>
          <w:p>
            <w:pPr>
              <w:pStyle w:val="Compact"/>
              <w:jc w:val="left"/>
            </w:pPr>
            <w:r>
              <w:t xml:space="preserve">Infraestructura resiliente + seguros paramétricos + fondos de contingencia</w:t>
            </w:r>
          </w:p>
        </w:tc>
      </w:tr>
    </w:tbl>
    <w:p>
      <w:r>
        <w:pict>
          <v:rect style="width:0;height:1.5pt" o:hralign="center" o:hrstd="t" o:hr="t"/>
        </w:pict>
      </w:r>
    </w:p>
    <w:p>
      <w:pPr>
        <w:pStyle w:val="Heading2"/>
      </w:pPr>
      <w:bookmarkStart w:id="32" w:name="X2ca33a25a0a54703c62a1ddd67084f18e525b85"/>
      <w:r>
        <w:t xml:space="preserve">4. Comparación Internacional: ¿Es mucho, poco, o razonable?</w:t>
      </w:r>
      <w:bookmarkEnd w:id="32"/>
    </w:p>
    <w:p>
      <w:pPr>
        <w:pStyle w:val="Heading3"/>
      </w:pPr>
      <w:bookmarkStart w:id="33" w:name="como-porcentaje-del-pbi"/>
      <w:r>
        <w:t xml:space="preserve">4.1 Como porcentaje del PBI</w:t>
      </w:r>
      <w:bookmarkEnd w:id="33"/>
    </w:p>
    <w:p>
      <w:pPr>
        <w:pStyle w:val="FirstParagraph"/>
      </w:pPr>
      <w:r>
        <w:t xml:space="preserve">Argentina Próspera propone gastar un 2,5% adicional del PBI anual en transformación estructural. Comparemos:</w:t>
      </w:r>
    </w:p>
    <w:tbl>
      <w:tblPr>
        <w:tblStyle w:val="Table"/>
        <w:tblW w:type="pct" w:w="5000.0"/>
        <w:tblLook w:firstRow="1"/>
      </w:tblPr>
      <w:tblGrid>
        <w:gridCol w:w="2013"/>
        <w:gridCol w:w="3221"/>
        <w:gridCol w:w="1208"/>
        <w:gridCol w:w="1476"/>
      </w:tblGrid>
      <w:tr>
        <w:trPr>
          <w:cnfStyle w:firstRow="1"/>
        </w:trPr>
        <w:tc>
          <w:tcPr>
            <w:tcBorders>
              <w:bottom w:val="single"/>
            </w:tcBorders>
            <w:vAlign w:val="bottom"/>
          </w:tcPr>
          <w:p>
            <w:pPr>
              <w:pStyle w:val="Compact"/>
              <w:jc w:val="left"/>
            </w:pPr>
            <w:r>
              <w:t xml:space="preserve">País/Programa</w:t>
            </w:r>
          </w:p>
        </w:tc>
        <w:tc>
          <w:tcPr>
            <w:tcBorders>
              <w:bottom w:val="single"/>
            </w:tcBorders>
            <w:vAlign w:val="bottom"/>
          </w:tcPr>
          <w:p>
            <w:pPr>
              <w:pStyle w:val="Compact"/>
              <w:jc w:val="left"/>
            </w:pPr>
            <w:r>
              <w:t xml:space="preserve">Gasto adicional (% PBI)</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Resultado</w:t>
            </w:r>
          </w:p>
        </w:tc>
      </w:tr>
      <w:tr>
        <w:tc>
          <w:p>
            <w:pPr>
              <w:pStyle w:val="Compact"/>
              <w:jc w:val="left"/>
            </w:pPr>
            <w:r>
              <w:t xml:space="preserve">Plan Marshall (Europa)</w:t>
            </w:r>
          </w:p>
        </w:tc>
        <w:tc>
          <w:p>
            <w:pPr>
              <w:pStyle w:val="Compact"/>
              <w:jc w:val="left"/>
            </w:pPr>
            <w:r>
              <w:t xml:space="preserve">2-3% del PBI de EEUU</w:t>
            </w:r>
          </w:p>
        </w:tc>
        <w:tc>
          <w:p>
            <w:pPr>
              <w:pStyle w:val="Compact"/>
              <w:jc w:val="left"/>
            </w:pPr>
            <w:r>
              <w:t xml:space="preserve">1948-1952</w:t>
            </w:r>
          </w:p>
        </w:tc>
        <w:tc>
          <w:p>
            <w:pPr>
              <w:pStyle w:val="Compact"/>
              <w:jc w:val="left"/>
            </w:pPr>
            <w:r>
              <w:t xml:space="preserve">Reconstrucción total de Europa</w:t>
            </w:r>
          </w:p>
        </w:tc>
      </w:tr>
      <w:tr>
        <w:tc>
          <w:p>
            <w:pPr>
              <w:pStyle w:val="Compact"/>
              <w:jc w:val="left"/>
            </w:pPr>
            <w:r>
              <w:t xml:space="preserve">Corea del Sur (industrialización)</w:t>
            </w:r>
          </w:p>
        </w:tc>
        <w:tc>
          <w:p>
            <w:pPr>
              <w:pStyle w:val="Compact"/>
              <w:jc w:val="left"/>
            </w:pPr>
            <w:r>
              <w:t xml:space="preserve">3-4% adicional</w:t>
            </w:r>
          </w:p>
        </w:tc>
        <w:tc>
          <w:p>
            <w:pPr>
              <w:pStyle w:val="Compact"/>
              <w:jc w:val="left"/>
            </w:pPr>
            <w:r>
              <w:t xml:space="preserve">1961-1980</w:t>
            </w:r>
          </w:p>
        </w:tc>
        <w:tc>
          <w:p>
            <w:pPr>
              <w:pStyle w:val="Compact"/>
              <w:jc w:val="left"/>
            </w:pPr>
            <w:r>
              <w:t xml:space="preserve">De país agrario a potencia tech</w:t>
            </w:r>
          </w:p>
        </w:tc>
      </w:tr>
      <w:tr>
        <w:tc>
          <w:p>
            <w:pPr>
              <w:pStyle w:val="Compact"/>
              <w:jc w:val="left"/>
            </w:pPr>
            <w:r>
              <w:t xml:space="preserve">New Deal (Roosevelt, EEUU)</w:t>
            </w:r>
          </w:p>
        </w:tc>
        <w:tc>
          <w:p>
            <w:pPr>
              <w:pStyle w:val="Compact"/>
              <w:jc w:val="left"/>
            </w:pPr>
            <w:r>
              <w:t xml:space="preserve">4-6% del PBI</w:t>
            </w:r>
          </w:p>
        </w:tc>
        <w:tc>
          <w:p>
            <w:pPr>
              <w:pStyle w:val="Compact"/>
              <w:jc w:val="left"/>
            </w:pPr>
            <w:r>
              <w:t xml:space="preserve">1933-1939</w:t>
            </w:r>
          </w:p>
        </w:tc>
        <w:tc>
          <w:p>
            <w:pPr>
              <w:pStyle w:val="Compact"/>
              <w:jc w:val="left"/>
            </w:pPr>
            <w:r>
              <w:t xml:space="preserve">Salida de la Gran Depresión</w:t>
            </w:r>
          </w:p>
        </w:tc>
      </w:tr>
      <w:tr>
        <w:tc>
          <w:p>
            <w:pPr>
              <w:pStyle w:val="Compact"/>
              <w:jc w:val="left"/>
            </w:pPr>
            <w:r>
              <w:t xml:space="preserve">Chile (Concertación, 1990-2010)</w:t>
            </w:r>
          </w:p>
        </w:tc>
        <w:tc>
          <w:p>
            <w:pPr>
              <w:pStyle w:val="Compact"/>
              <w:jc w:val="left"/>
            </w:pPr>
            <w:r>
              <w:t xml:space="preserve">1,5-2% adicional</w:t>
            </w:r>
          </w:p>
        </w:tc>
        <w:tc>
          <w:p>
            <w:pPr>
              <w:pStyle w:val="Compact"/>
              <w:jc w:val="left"/>
            </w:pPr>
            <w:r>
              <w:t xml:space="preserve">20 años</w:t>
            </w:r>
          </w:p>
        </w:tc>
        <w:tc>
          <w:p>
            <w:pPr>
              <w:pStyle w:val="Compact"/>
              <w:jc w:val="left"/>
            </w:pPr>
            <w:r>
              <w:t xml:space="preserve">Pobreza del 45% al 11%</w:t>
            </w:r>
          </w:p>
        </w:tc>
      </w:tr>
      <w:tr>
        <w:tc>
          <w:p>
            <w:pPr>
              <w:pStyle w:val="Compact"/>
              <w:jc w:val="left"/>
            </w:pPr>
            <w:r>
              <w:rPr>
                <w:b/>
              </w:rPr>
              <w:t xml:space="preserve">Argentina Próspera</w:t>
            </w:r>
          </w:p>
        </w:tc>
        <w:tc>
          <w:p>
            <w:pPr>
              <w:pStyle w:val="Compact"/>
              <w:jc w:val="left"/>
            </w:pPr>
            <w:r>
              <w:rPr>
                <w:b/>
              </w:rPr>
              <w:t xml:space="preserve">2,5%</w:t>
            </w:r>
          </w:p>
        </w:tc>
        <w:tc>
          <w:p>
            <w:pPr>
              <w:pStyle w:val="Compact"/>
              <w:jc w:val="left"/>
            </w:pPr>
            <w:r>
              <w:rPr>
                <w:b/>
              </w:rPr>
              <w:t xml:space="preserve">2027-2031</w:t>
            </w:r>
          </w:p>
        </w:tc>
        <w:tc>
          <w:p>
            <w:pPr>
              <w:pStyle w:val="Compact"/>
              <w:jc w:val="left"/>
            </w:pPr>
            <w:r>
              <w:rPr>
                <w:b/>
              </w:rPr>
              <w:t xml:space="preserve">Objetivo: pobreza del 31% al 15%</w:t>
            </w:r>
          </w:p>
        </w:tc>
      </w:tr>
    </w:tbl>
    <w:p>
      <w:pPr>
        <w:pStyle w:val="BodyText"/>
      </w:pPr>
      <w:r>
        <w:t xml:space="preserve">El gasto propuesto está en línea con programas transformadores exitosos. No es un nivel de gasto extraordinario — es una reorientación de prioridades en un país que ya gasta más del 40% de su PBI a través del Estado.</w:t>
      </w:r>
    </w:p>
    <w:p>
      <w:pPr>
        <w:pStyle w:val="Heading3"/>
      </w:pPr>
      <w:bookmarkStart w:id="34" w:name="costo-por-habitante"/>
      <w:r>
        <w:t xml:space="preserve">4.2 Costo por habitante</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Inversión total</w:t>
            </w:r>
          </w:p>
        </w:tc>
        <w:tc>
          <w:tcPr>
            <w:tcBorders>
              <w:bottom w:val="single"/>
            </w:tcBorders>
            <w:vAlign w:val="bottom"/>
          </w:tcPr>
          <w:p>
            <w:pPr>
              <w:pStyle w:val="Compact"/>
              <w:jc w:val="left"/>
            </w:pPr>
            <w:r>
              <w:t xml:space="preserve">Población</w:t>
            </w:r>
          </w:p>
        </w:tc>
        <w:tc>
          <w:tcPr>
            <w:tcBorders>
              <w:bottom w:val="single"/>
            </w:tcBorders>
            <w:vAlign w:val="bottom"/>
          </w:tcPr>
          <w:p>
            <w:pPr>
              <w:pStyle w:val="Compact"/>
              <w:jc w:val="left"/>
            </w:pPr>
            <w:r>
              <w:t xml:space="preserve">Inversión per cápita (5 años)</w:t>
            </w:r>
          </w:p>
        </w:tc>
        <w:tc>
          <w:tcPr>
            <w:tcBorders>
              <w:bottom w:val="single"/>
            </w:tcBorders>
            <w:vAlign w:val="bottom"/>
          </w:tcPr>
          <w:p>
            <w:pPr>
              <w:pStyle w:val="Compact"/>
              <w:jc w:val="left"/>
            </w:pPr>
            <w:r>
              <w:t xml:space="preserve">Per cápita/año</w:t>
            </w:r>
          </w:p>
        </w:tc>
      </w:tr>
      <w:tr>
        <w:tc>
          <w:p>
            <w:pPr>
              <w:pStyle w:val="Compact"/>
              <w:jc w:val="left"/>
            </w:pPr>
            <w:r>
              <w:t xml:space="preserve">USD 82.122M</w:t>
            </w:r>
          </w:p>
        </w:tc>
        <w:tc>
          <w:p>
            <w:pPr>
              <w:pStyle w:val="Compact"/>
              <w:jc w:val="left"/>
            </w:pPr>
            <w:r>
              <w:t xml:space="preserve">47 millones</w:t>
            </w:r>
          </w:p>
        </w:tc>
        <w:tc>
          <w:p>
            <w:pPr>
              <w:pStyle w:val="Compact"/>
              <w:jc w:val="left"/>
            </w:pPr>
            <w:r>
              <w:t xml:space="preserve">USD 1.747</w:t>
            </w:r>
          </w:p>
        </w:tc>
        <w:tc>
          <w:p>
            <w:pPr>
              <w:pStyle w:val="Compact"/>
              <w:jc w:val="left"/>
            </w:pPr>
            <w:r>
              <w:t xml:space="preserve">USD 349</w:t>
            </w:r>
          </w:p>
        </w:tc>
      </w:tr>
    </w:tbl>
    <w:p>
      <w:pPr>
        <w:pStyle w:val="BodyText"/>
      </w:pPr>
      <w:r>
        <w:t xml:space="preserve">USD 349 por persona por año — menos de un dólar por día — para transformar vivienda, salud, educación, trabajo, ambiente, seguridad, gobierno, inserción internacional y vida comunitaria. Es una inversión modesta comparada con lo que gastan países desarrollados en servicios públicos.</w:t>
      </w:r>
    </w:p>
    <w:p>
      <w:r>
        <w:pict>
          <v:rect style="width:0;height:1.5pt" o:hralign="center" o:hrstd="t" o:hr="t"/>
        </w:pict>
      </w:r>
    </w:p>
    <w:p>
      <w:pPr>
        <w:pStyle w:val="Heading2"/>
      </w:pPr>
      <w:bookmarkStart w:id="35" w:name="retorno-esperado-de-la-inversión"/>
      <w:r>
        <w:t xml:space="preserve">5. Retorno Esperado de la Inversión</w:t>
      </w:r>
      <w:bookmarkEnd w:id="35"/>
    </w:p>
    <w:p>
      <w:pPr>
        <w:pStyle w:val="FirstParagraph"/>
      </w:pPr>
      <w:r>
        <w:t xml:space="preserve">No se trata solo de cuánto cuesta sino de cuánto genera. Cada sector tiene retornos cuantificables:</w:t>
      </w:r>
    </w:p>
    <w:p>
      <w:pPr>
        <w:pStyle w:val="Heading3"/>
      </w:pPr>
      <w:bookmarkStart w:id="36" w:name="retornos-directos-ingresos-y-ahorro"/>
      <w:r>
        <w:t xml:space="preserve">5.1 Retornos directos (ingresos y ahorro)</w:t>
      </w:r>
      <w:bookmarkEnd w:id="36"/>
    </w:p>
    <w:tbl>
      <w:tblPr>
        <w:tblStyle w:val="Table"/>
        <w:tblW w:type="pct" w:w="5000.0"/>
        <w:tblLook w:firstRow="1"/>
      </w:tblPr>
      <w:tblGrid>
        <w:gridCol w:w="1408"/>
        <w:gridCol w:w="5456"/>
        <w:gridCol w:w="1056"/>
      </w:tblGrid>
      <w:tr>
        <w:trPr>
          <w:cnfStyle w:firstRow="1"/>
        </w:trPr>
        <w:tc>
          <w:tcPr>
            <w:tcBorders>
              <w:bottom w:val="single"/>
            </w:tcBorders>
            <w:vAlign w:val="bottom"/>
          </w:tcPr>
          <w:p>
            <w:pPr>
              <w:pStyle w:val="Compact"/>
              <w:jc w:val="left"/>
            </w:pPr>
            <w:r>
              <w:t xml:space="preserve">Sector</w:t>
            </w:r>
          </w:p>
        </w:tc>
        <w:tc>
          <w:tcPr>
            <w:tcBorders>
              <w:bottom w:val="single"/>
            </w:tcBorders>
            <w:vAlign w:val="bottom"/>
          </w:tcPr>
          <w:p>
            <w:pPr>
              <w:pStyle w:val="Compact"/>
              <w:jc w:val="left"/>
            </w:pPr>
            <w:r>
              <w:t xml:space="preserve">Retorno esperado (anual, año 5)</w:t>
            </w:r>
          </w:p>
        </w:tc>
        <w:tc>
          <w:tcPr>
            <w:tcBorders>
              <w:bottom w:val="single"/>
            </w:tcBorders>
            <w:vAlign w:val="bottom"/>
          </w:tcPr>
          <w:p>
            <w:pPr>
              <w:pStyle w:val="Compact"/>
              <w:jc w:val="left"/>
            </w:pPr>
            <w:r>
              <w:t xml:space="preserve">Tipo</w:t>
            </w:r>
          </w:p>
        </w:tc>
      </w:tr>
      <w:tr>
        <w:tc>
          <w:p>
            <w:pPr>
              <w:pStyle w:val="Compact"/>
              <w:jc w:val="left"/>
            </w:pPr>
            <w:r>
              <w:t xml:space="preserve">Vivienda</w:t>
            </w:r>
          </w:p>
        </w:tc>
        <w:tc>
          <w:p>
            <w:pPr>
              <w:pStyle w:val="Compact"/>
              <w:jc w:val="left"/>
            </w:pPr>
            <w:r>
              <w:t xml:space="preserve">USD 1.200M</w:t>
            </w:r>
          </w:p>
        </w:tc>
        <w:tc>
          <w:p>
            <w:pPr>
              <w:pStyle w:val="Compact"/>
              <w:jc w:val="left"/>
            </w:pPr>
            <w:r>
              <w:t xml:space="preserve">Ahorro en salud, productividad, reducción hacinamiento</w:t>
            </w:r>
          </w:p>
        </w:tc>
      </w:tr>
      <w:tr>
        <w:tc>
          <w:p>
            <w:pPr>
              <w:pStyle w:val="Compact"/>
              <w:jc w:val="left"/>
            </w:pPr>
            <w:r>
              <w:t xml:space="preserve">Salud (equipos territoriales + prevención)</w:t>
            </w:r>
          </w:p>
        </w:tc>
        <w:tc>
          <w:p>
            <w:pPr>
              <w:pStyle w:val="Compact"/>
              <w:jc w:val="left"/>
            </w:pPr>
            <w:r>
              <w:t xml:space="preserve">USD 2.500M</w:t>
            </w:r>
          </w:p>
        </w:tc>
        <w:tc>
          <w:p>
            <w:pPr>
              <w:pStyle w:val="Compact"/>
              <w:jc w:val="left"/>
            </w:pPr>
            <w:r>
              <w:t xml:space="preserve">Ahorro hospitalizaciones evitables, productividad</w:t>
            </w:r>
          </w:p>
        </w:tc>
      </w:tr>
      <w:tr>
        <w:tc>
          <w:p>
            <w:pPr>
              <w:pStyle w:val="Compact"/>
              <w:jc w:val="left"/>
            </w:pPr>
            <w:r>
              <w:t xml:space="preserve">CAITMA</w:t>
            </w:r>
          </w:p>
        </w:tc>
        <w:tc>
          <w:p>
            <w:pPr>
              <w:pStyle w:val="Compact"/>
              <w:jc w:val="left"/>
            </w:pPr>
            <w:r>
              <w:t xml:space="preserve">USD 50M</w:t>
            </w:r>
          </w:p>
        </w:tc>
        <w:tc>
          <w:p>
            <w:pPr>
              <w:pStyle w:val="Compact"/>
              <w:jc w:val="left"/>
            </w:pPr>
            <w:r>
              <w:t xml:space="preserve">Licencias de patentes, spin-offs (mediano plazo)</w:t>
            </w:r>
          </w:p>
        </w:tc>
      </w:tr>
      <w:tr>
        <w:tc>
          <w:p>
            <w:pPr>
              <w:pStyle w:val="Compact"/>
              <w:jc w:val="left"/>
            </w:pPr>
            <w:r>
              <w:t xml:space="preserve">Educación (primera infancia)</w:t>
            </w:r>
          </w:p>
        </w:tc>
        <w:tc>
          <w:p>
            <w:pPr>
              <w:pStyle w:val="Compact"/>
              <w:jc w:val="left"/>
            </w:pPr>
            <w:r>
              <w:t xml:space="preserve">USD 3.000M</w:t>
            </w:r>
          </w:p>
        </w:tc>
        <w:tc>
          <w:p>
            <w:pPr>
              <w:pStyle w:val="Compact"/>
              <w:jc w:val="left"/>
            </w:pPr>
            <w:r>
              <w:t xml:space="preserve">Retorno de USD 7-13 por cada USD 1 invertido (largo plazo)</w:t>
            </w:r>
          </w:p>
        </w:tc>
      </w:tr>
      <w:tr>
        <w:tc>
          <w:p>
            <w:pPr>
              <w:pStyle w:val="Compact"/>
              <w:jc w:val="left"/>
            </w:pPr>
            <w:r>
              <w:t xml:space="preserve">Trabajo (Garantía Empleo)</w:t>
            </w:r>
          </w:p>
        </w:tc>
        <w:tc>
          <w:p>
            <w:pPr>
              <w:pStyle w:val="Compact"/>
              <w:jc w:val="left"/>
            </w:pPr>
            <w:r>
              <w:t xml:space="preserve">USD 8.000M</w:t>
            </w:r>
          </w:p>
        </w:tc>
        <w:tc>
          <w:p>
            <w:pPr>
              <w:pStyle w:val="Compact"/>
              <w:jc w:val="left"/>
            </w:pPr>
            <w:r>
              <w:t xml:space="preserve">Producto generado por 500.000 trabajadores + consumo + formalización</w:t>
            </w:r>
          </w:p>
        </w:tc>
      </w:tr>
      <w:tr>
        <w:tc>
          <w:p>
            <w:pPr>
              <w:pStyle w:val="Compact"/>
              <w:jc w:val="left"/>
            </w:pPr>
            <w:r>
              <w:t xml:space="preserve">Ambiente (renovables)</w:t>
            </w:r>
          </w:p>
        </w:tc>
        <w:tc>
          <w:p>
            <w:pPr>
              <w:pStyle w:val="Compact"/>
              <w:jc w:val="left"/>
            </w:pPr>
            <w:r>
              <w:t xml:space="preserve">USD 2.000M</w:t>
            </w:r>
          </w:p>
        </w:tc>
        <w:tc>
          <w:p>
            <w:pPr>
              <w:pStyle w:val="Compact"/>
              <w:jc w:val="left"/>
            </w:pPr>
            <w:r>
              <w:t xml:space="preserve">Ahorro importación de energía fósil + exportación H2 verde</w:t>
            </w:r>
          </w:p>
        </w:tc>
      </w:tr>
      <w:tr>
        <w:tc>
          <w:p>
            <w:pPr>
              <w:pStyle w:val="Compact"/>
              <w:jc w:val="left"/>
            </w:pPr>
            <w:r>
              <w:t xml:space="preserve">Ambiente (bosques)</w:t>
            </w:r>
          </w:p>
        </w:tc>
        <w:tc>
          <w:p>
            <w:pPr>
              <w:pStyle w:val="Compact"/>
              <w:jc w:val="left"/>
            </w:pPr>
            <w:r>
              <w:t xml:space="preserve">USD 500M</w:t>
            </w:r>
          </w:p>
        </w:tc>
        <w:tc>
          <w:p>
            <w:pPr>
              <w:pStyle w:val="Compact"/>
              <w:jc w:val="left"/>
            </w:pPr>
            <w:r>
              <w:t xml:space="preserve">Servicios ecosistémicos + créditos de carbono</w:t>
            </w:r>
          </w:p>
        </w:tc>
      </w:tr>
      <w:tr>
        <w:tc>
          <w:p>
            <w:pPr>
              <w:pStyle w:val="Compact"/>
              <w:jc w:val="left"/>
            </w:pPr>
            <w:r>
              <w:t xml:space="preserve">Gobierno digital</w:t>
            </w:r>
          </w:p>
        </w:tc>
        <w:tc>
          <w:p>
            <w:pPr>
              <w:pStyle w:val="Compact"/>
              <w:jc w:val="left"/>
            </w:pPr>
            <w:r>
              <w:t xml:space="preserve">USD 300M</w:t>
            </w:r>
          </w:p>
        </w:tc>
        <w:tc>
          <w:p>
            <w:pPr>
              <w:pStyle w:val="Compact"/>
              <w:jc w:val="left"/>
            </w:pPr>
            <w:r>
              <w:t xml:space="preserve">Ahorro en papel, burocracia, duplicación</w:t>
            </w:r>
          </w:p>
        </w:tc>
      </w:tr>
      <w:tr>
        <w:tc>
          <w:p>
            <w:pPr>
              <w:pStyle w:val="Compact"/>
              <w:jc w:val="left"/>
            </w:pPr>
            <w:r>
              <w:t xml:space="preserve">Argentina en el Mundo (tech + turismo)</w:t>
            </w:r>
          </w:p>
        </w:tc>
        <w:tc>
          <w:p>
            <w:pPr>
              <w:pStyle w:val="Compact"/>
              <w:jc w:val="left"/>
            </w:pPr>
            <w:r>
              <w:t xml:space="preserve">USD 4.000M</w:t>
            </w:r>
          </w:p>
        </w:tc>
        <w:tc>
          <w:p>
            <w:pPr>
              <w:pStyle w:val="Compact"/>
              <w:jc w:val="left"/>
            </w:pPr>
            <w:r>
              <w:t xml:space="preserve">Exportaciones tech USD 18.000M + turismo USD 10.000M (metas)</w:t>
            </w:r>
          </w:p>
        </w:tc>
      </w:tr>
      <w:tr>
        <w:tc>
          <w:p>
            <w:pPr>
              <w:pStyle w:val="Compact"/>
              <w:jc w:val="left"/>
            </w:pPr>
            <w:r>
              <w:rPr>
                <w:b/>
              </w:rPr>
              <w:t xml:space="preserve">Total retorno directo estimado</w:t>
            </w:r>
          </w:p>
        </w:tc>
        <w:tc>
          <w:p>
            <w:pPr>
              <w:pStyle w:val="Compact"/>
              <w:jc w:val="left"/>
            </w:pPr>
            <w:r>
              <w:rPr>
                <w:b/>
              </w:rPr>
              <w:t xml:space="preserve">~USD 21.500M/año</w:t>
            </w:r>
          </w:p>
        </w:tc>
        <w:tc>
          <w:p/>
        </w:tc>
      </w:tr>
    </w:tbl>
    <w:p>
      <w:pPr>
        <w:pStyle w:val="Heading3"/>
      </w:pPr>
      <w:bookmarkStart w:id="37" w:name="X1caccc97dc25ad164416631835aab3fa99357fd"/>
      <w:r>
        <w:t xml:space="preserve">5.2 Retornos indirectos (no monetizables directamente)</w:t>
      </w:r>
      <w:bookmarkEnd w:id="37"/>
    </w:p>
    <w:p>
      <w:pPr>
        <w:numPr>
          <w:ilvl w:val="0"/>
          <w:numId w:val="1001"/>
        </w:numPr>
        <w:pStyle w:val="Compact"/>
      </w:pPr>
      <w:r>
        <w:t xml:space="preserve">Reducción de pobreza del 31,6% al ~15% (9 millones de personas salen de la pobreza)</w:t>
      </w:r>
    </w:p>
    <w:p>
      <w:pPr>
        <w:numPr>
          <w:ilvl w:val="0"/>
          <w:numId w:val="1001"/>
        </w:numPr>
        <w:pStyle w:val="Compact"/>
      </w:pPr>
      <w:r>
        <w:t xml:space="preserve">Reducción de indigencia del 6,9% al ~2%</w:t>
      </w:r>
    </w:p>
    <w:p>
      <w:pPr>
        <w:numPr>
          <w:ilvl w:val="0"/>
          <w:numId w:val="1001"/>
        </w:numPr>
        <w:pStyle w:val="Compact"/>
      </w:pPr>
      <w:r>
        <w:t xml:space="preserve">Formalización de 3 millones de trabajadores</w:t>
      </w:r>
    </w:p>
    <w:p>
      <w:pPr>
        <w:numPr>
          <w:ilvl w:val="0"/>
          <w:numId w:val="1001"/>
        </w:numPr>
        <w:pStyle w:val="Compact"/>
      </w:pPr>
      <w:r>
        <w:t xml:space="preserve">500.000 viviendas nuevas o mejoradas</w:t>
      </w:r>
    </w:p>
    <w:p>
      <w:pPr>
        <w:numPr>
          <w:ilvl w:val="0"/>
          <w:numId w:val="1001"/>
        </w:numPr>
        <w:pStyle w:val="Compact"/>
      </w:pPr>
      <w:r>
        <w:t xml:space="preserve">Cobertura universal de salud territorial</w:t>
      </w:r>
    </w:p>
    <w:p>
      <w:pPr>
        <w:numPr>
          <w:ilvl w:val="0"/>
          <w:numId w:val="1001"/>
        </w:numPr>
        <w:pStyle w:val="Compact"/>
      </w:pPr>
      <w:r>
        <w:t xml:space="preserve">100% de niños en educación temprana</w:t>
      </w:r>
    </w:p>
    <w:p>
      <w:pPr>
        <w:numPr>
          <w:ilvl w:val="0"/>
          <w:numId w:val="1001"/>
        </w:numPr>
        <w:pStyle w:val="Compact"/>
      </w:pPr>
      <w:r>
        <w:t xml:space="preserve">50% de la matriz energética renovable</w:t>
      </w:r>
    </w:p>
    <w:p>
      <w:pPr>
        <w:numPr>
          <w:ilvl w:val="0"/>
          <w:numId w:val="1001"/>
        </w:numPr>
        <w:pStyle w:val="Compact"/>
      </w:pPr>
      <w:r>
        <w:t xml:space="preserve">Reducción de la huella de carbono en 40%</w:t>
      </w:r>
    </w:p>
    <w:p>
      <w:pPr>
        <w:numPr>
          <w:ilvl w:val="0"/>
          <w:numId w:val="1001"/>
        </w:numPr>
        <w:pStyle w:val="Compact"/>
      </w:pPr>
      <w:r>
        <w:t xml:space="preserve">Deforestación cero + 1 millón de hectáreas restauradas</w:t>
      </w:r>
    </w:p>
    <w:p>
      <w:pPr>
        <w:numPr>
          <w:ilvl w:val="0"/>
          <w:numId w:val="1001"/>
        </w:numPr>
        <w:pStyle w:val="Compact"/>
      </w:pPr>
      <w:r>
        <w:t xml:space="preserve">Estado 100% digital, transparente y participativo</w:t>
      </w:r>
    </w:p>
    <w:p>
      <w:pPr>
        <w:numPr>
          <w:ilvl w:val="0"/>
          <w:numId w:val="1001"/>
        </w:numPr>
        <w:pStyle w:val="Compact"/>
      </w:pPr>
      <w:r>
        <w:t xml:space="preserve">Argentina como hub tecnológico de Latinoamérica</w:t>
      </w:r>
    </w:p>
    <w:p>
      <w:pPr>
        <w:pStyle w:val="Heading3"/>
      </w:pPr>
      <w:bookmarkStart w:id="38" w:name="multiplicador-fiscal"/>
      <w:r>
        <w:t xml:space="preserve">5.3 Multiplicador fiscal</w:t>
      </w:r>
      <w:bookmarkEnd w:id="38"/>
    </w:p>
    <w:p>
      <w:pPr>
        <w:pStyle w:val="FirstParagraph"/>
      </w:pPr>
      <w:r>
        <w:t xml:space="preserve">La evidencia internacional muestra que la inversión pública en infraestructura social tiene multiplicadores fiscales de entre 1,5 y 2,5 — es decir, cada peso invertido genera entre 1,5 y 2,5 pesos en actividad económica. Aplicando un multiplicador conservador de 1,7:</w:t>
      </w:r>
    </w:p>
    <w:p>
      <w:pPr>
        <w:pStyle w:val="BodyText"/>
      </w:pPr>
      <w:r>
        <w:rPr>
          <w:b/>
        </w:rPr>
        <w:t xml:space="preserve">USD 16.424M/año × 1,7 = USD 27.920M en actividad económica adicional</w:t>
      </w:r>
    </w:p>
    <w:p>
      <w:pPr>
        <w:pStyle w:val="BodyText"/>
      </w:pPr>
      <w:r>
        <w:t xml:space="preserve">Esto implica un crecimiento adicional del PBI de ~4,3% acumulativo durante los 5 años, llevando el PBI de Argentina de ~USD 650.000M a ~USD 790.000M (PBI nominal estimado para 2031).</w:t>
      </w:r>
    </w:p>
    <w:p>
      <w:r>
        <w:pict>
          <v:rect style="width:0;height:1.5pt" o:hralign="center" o:hrstd="t" o:hr="t"/>
        </w:pict>
      </w:r>
    </w:p>
    <w:p>
      <w:pPr>
        <w:pStyle w:val="Heading2"/>
      </w:pPr>
      <w:bookmarkStart w:id="39" w:name="X99cfeaa7547be003606ba3b5cc38b9b11d3aced"/>
      <w:r>
        <w:t xml:space="preserve">6. Capacidad de Ejecución: ¿Puede el Estado argentino hacer esto?</w:t>
      </w:r>
      <w:bookmarkEnd w:id="39"/>
    </w:p>
    <w:p>
      <w:pPr>
        <w:pStyle w:val="FirstParagraph"/>
      </w:pPr>
      <w:r>
        <w:t xml:space="preserve">Este es el punto más difícil. Argentina tiene una historia de programas ambiciosos mal ejecutados. La respuesta honesta: no puede hacer todo esto con el Estado actual. Pero el propio plan incluye la reforma del Estado (Documento 09) como parte integral.</w:t>
      </w:r>
    </w:p>
    <w:p>
      <w:pPr>
        <w:pStyle w:val="Heading3"/>
      </w:pPr>
      <w:bookmarkStart w:id="40" w:name="factores-a-favor"/>
      <w:r>
        <w:t xml:space="preserve">6.1 Factores a favor</w:t>
      </w:r>
      <w:bookmarkEnd w:id="40"/>
    </w:p>
    <w:p>
      <w:pPr>
        <w:numPr>
          <w:ilvl w:val="0"/>
          <w:numId w:val="1002"/>
        </w:numPr>
        <w:pStyle w:val="Compact"/>
      </w:pPr>
      <w:r>
        <w:rPr>
          <w:b/>
        </w:rPr>
        <w:t xml:space="preserve">Experiencia institucional existente</w:t>
      </w:r>
      <w:r>
        <w:t xml:space="preserve">: ANSES, AFIP, RENAPER, SENASA, INTA, CONICET, INTI — Argentina tiene instituciones con capacidad técnica real</w:t>
      </w:r>
    </w:p>
    <w:p>
      <w:pPr>
        <w:numPr>
          <w:ilvl w:val="0"/>
          <w:numId w:val="1002"/>
        </w:numPr>
        <w:pStyle w:val="Compact"/>
      </w:pPr>
      <w:r>
        <w:rPr>
          <w:b/>
        </w:rPr>
        <w:t xml:space="preserve">Capital humano</w:t>
      </w:r>
      <w:r>
        <w:t xml:space="preserve">: 3,6 millones de empleados públicos — el problema no es falta de gente sino mala organización</w:t>
      </w:r>
    </w:p>
    <w:p>
      <w:pPr>
        <w:numPr>
          <w:ilvl w:val="0"/>
          <w:numId w:val="1002"/>
        </w:numPr>
        <w:pStyle w:val="Compact"/>
      </w:pPr>
      <w:r>
        <w:rPr>
          <w:b/>
        </w:rPr>
        <w:t xml:space="preserve">Infraestructura digital base</w:t>
      </w:r>
      <w:r>
        <w:t xml:space="preserve">: Mi Argentina con 21 millones de usuarios, DNI digital funcionando, facturación electrónica parcial</w:t>
      </w:r>
    </w:p>
    <w:p>
      <w:pPr>
        <w:numPr>
          <w:ilvl w:val="0"/>
          <w:numId w:val="1002"/>
        </w:numPr>
        <w:pStyle w:val="Compact"/>
      </w:pPr>
      <w:r>
        <w:rPr>
          <w:b/>
        </w:rPr>
        <w:t xml:space="preserve">Tradición cooperativa</w:t>
      </w:r>
      <w:r>
        <w:t xml:space="preserve">: 19.076 cooperativas activas, movimiento cooperativo de vivienda, economía social organizada</w:t>
      </w:r>
    </w:p>
    <w:p>
      <w:pPr>
        <w:numPr>
          <w:ilvl w:val="0"/>
          <w:numId w:val="1002"/>
        </w:numPr>
        <w:pStyle w:val="Compact"/>
      </w:pPr>
      <w:r>
        <w:rPr>
          <w:b/>
        </w:rPr>
        <w:t xml:space="preserve">Sociedad civil activa</w:t>
      </w:r>
      <w:r>
        <w:t xml:space="preserve">: organizaciones como TECHO, Cáritas, movimientos territoriales, universidades comprometidas</w:t>
      </w:r>
    </w:p>
    <w:p>
      <w:pPr>
        <w:pStyle w:val="Heading3"/>
      </w:pPr>
      <w:bookmarkStart w:id="41" w:name="factores-en-contra"/>
      <w:r>
        <w:t xml:space="preserve">6.2 Factores en contra</w:t>
      </w:r>
      <w:bookmarkEnd w:id="41"/>
    </w:p>
    <w:p>
      <w:pPr>
        <w:numPr>
          <w:ilvl w:val="0"/>
          <w:numId w:val="1003"/>
        </w:numPr>
        <w:pStyle w:val="Compact"/>
      </w:pPr>
      <w:r>
        <w:rPr>
          <w:b/>
        </w:rPr>
        <w:t xml:space="preserve">Fragmentación institucional</w:t>
      </w:r>
      <w:r>
        <w:t xml:space="preserve">: Nación, 23 provincias y CABA, 2.300+ municipios — coordinación compleja</w:t>
      </w:r>
    </w:p>
    <w:p>
      <w:pPr>
        <w:numPr>
          <w:ilvl w:val="0"/>
          <w:numId w:val="1003"/>
        </w:numPr>
        <w:pStyle w:val="Compact"/>
      </w:pPr>
      <w:r>
        <w:rPr>
          <w:b/>
        </w:rPr>
        <w:t xml:space="preserve">Coparticipación rota</w:t>
      </w:r>
      <w:r>
        <w:t xml:space="preserve">: sistema de distribución de recursos que no responde a necesidades</w:t>
      </w:r>
    </w:p>
    <w:p>
      <w:pPr>
        <w:numPr>
          <w:ilvl w:val="0"/>
          <w:numId w:val="1003"/>
        </w:numPr>
        <w:pStyle w:val="Compact"/>
      </w:pPr>
      <w:r>
        <w:rPr>
          <w:b/>
        </w:rPr>
        <w:t xml:space="preserve">Corrupción</w:t>
      </w:r>
      <w:r>
        <w:t xml:space="preserve">: índice de 36/100 en Transparency International — riesgo real de desvío de fondos</w:t>
      </w:r>
    </w:p>
    <w:p>
      <w:pPr>
        <w:numPr>
          <w:ilvl w:val="0"/>
          <w:numId w:val="1003"/>
        </w:numPr>
        <w:pStyle w:val="Compact"/>
      </w:pPr>
      <w:r>
        <w:rPr>
          <w:b/>
        </w:rPr>
        <w:t xml:space="preserve">Capacidad municipal débil</w:t>
      </w:r>
      <w:r>
        <w:t xml:space="preserve">: muchos municipios no tienen capacidad técnica para ejecutar programas complejos</w:t>
      </w:r>
    </w:p>
    <w:p>
      <w:pPr>
        <w:numPr>
          <w:ilvl w:val="0"/>
          <w:numId w:val="1003"/>
        </w:numPr>
        <w:pStyle w:val="Compact"/>
      </w:pPr>
      <w:r>
        <w:rPr>
          <w:b/>
        </w:rPr>
        <w:t xml:space="preserve">Ciclos políticos cortos</w:t>
      </w:r>
      <w:r>
        <w:t xml:space="preserve">: mandato de 4 años vs. plan de 5 años — riesgo de discontinuidad</w:t>
      </w:r>
    </w:p>
    <w:p>
      <w:pPr>
        <w:pStyle w:val="Heading3"/>
      </w:pPr>
      <w:bookmarkStart w:id="42" w:name="estrategia-de-ejecución"/>
      <w:r>
        <w:t xml:space="preserve">6.3 Estrategia de ejecución</w:t>
      </w:r>
      <w:bookmarkEnd w:id="42"/>
    </w:p>
    <w:p>
      <w:pPr>
        <w:pStyle w:val="FirstParagraph"/>
      </w:pPr>
      <w:r>
        <w:t xml:space="preserve">Para mitigar los factores en contra, el plan se ejecuta con cinco principios:</w:t>
      </w:r>
    </w:p>
    <w:p>
      <w:pPr>
        <w:pStyle w:val="BodyText"/>
      </w:pPr>
      <w:r>
        <w:rPr>
          <w:b/>
        </w:rPr>
        <w:t xml:space="preserve">1. Secuenciación inteligente.</w:t>
      </w:r>
      <w:r>
        <w:t xml:space="preserve"> </w:t>
      </w:r>
      <w:r>
        <w:t xml:space="preserve">No todo arranca al mismo tiempo. Las</w:t>
      </w:r>
      <w:r>
        <w:t xml:space="preserve"> </w:t>
      </w:r>
      <w:r>
        <w:t xml:space="preserve">“</w:t>
      </w:r>
      <w:r>
        <w:t xml:space="preserve">victorias rápidas</w:t>
      </w:r>
      <w:r>
        <w:t xml:space="preserve">”</w:t>
      </w:r>
      <w:r>
        <w:t xml:space="preserve"> </w:t>
      </w:r>
      <w:r>
        <w:t xml:space="preserve">(Ciclovía Dominical, digitalización de trámites, tarjeta de actividades juveniles) se implementan en los primeros 6 meses para generar confianza. Los programas estructurales (Garantía de Empleo, reforma tributaria, renovables) escalan gradualmente.</w:t>
      </w:r>
    </w:p>
    <w:p>
      <w:pPr>
        <w:pStyle w:val="BodyText"/>
      </w:pPr>
      <w:r>
        <w:rPr>
          <w:b/>
        </w:rPr>
        <w:t xml:space="preserve">2. Ejecución descentralizada con estándares nacionales.</w:t>
      </w:r>
      <w:r>
        <w:t xml:space="preserve"> </w:t>
      </w:r>
      <w:r>
        <w:t xml:space="preserve">El diseño y los estándares son nacionales. La ejecución es local. Los municipios y cooperativas implementan, con acompañamiento técnico y auditoría.</w:t>
      </w:r>
    </w:p>
    <w:p>
      <w:pPr>
        <w:pStyle w:val="BodyText"/>
      </w:pPr>
      <w:r>
        <w:rPr>
          <w:b/>
        </w:rPr>
        <w:t xml:space="preserve">3. Transparencia radical.</w:t>
      </w:r>
      <w:r>
        <w:t xml:space="preserve"> </w:t>
      </w:r>
      <w:r>
        <w:t xml:space="preserve">Cada peso del plan tiene seguimiento digital público en tiempo real. Cualquier ciudadano puede ver en qué se gasta, quién ejecuta, y qué resultados tiene. Esto no es un accesorio — es la columna vertebral anticorrupción del plan.</w:t>
      </w:r>
    </w:p>
    <w:p>
      <w:pPr>
        <w:pStyle w:val="BodyText"/>
      </w:pPr>
      <w:r>
        <w:rPr>
          <w:b/>
        </w:rPr>
        <w:t xml:space="preserve">4. Evaluación continua.</w:t>
      </w:r>
      <w:r>
        <w:t xml:space="preserve"> </w:t>
      </w:r>
      <w:r>
        <w:t xml:space="preserve">Cada programa tiene indicadores medibles con evaluación trimestral. Lo que no funciona se ajusta o se cierra. No hay programas eternos — hay metas y rendición de cuentas.</w:t>
      </w:r>
    </w:p>
    <w:p>
      <w:pPr>
        <w:pStyle w:val="BodyText"/>
      </w:pPr>
      <w:r>
        <w:rPr>
          <w:b/>
        </w:rPr>
        <w:t xml:space="preserve">5. Alianza público-social-privada.</w:t>
      </w:r>
      <w:r>
        <w:t xml:space="preserve"> </w:t>
      </w:r>
      <w:r>
        <w:t xml:space="preserve">El Estado no ejecuta solo. Cooperativas, universidades, organizaciones sociales, sector privado — cada actor tiene un rol. El Estado coordina, financia y evalúa.</w:t>
      </w:r>
    </w:p>
    <w:p>
      <w:r>
        <w:pict>
          <v:rect style="width:0;height:1.5pt" o:hralign="center" o:hrstd="t" o:hr="t"/>
        </w:pict>
      </w:r>
    </w:p>
    <w:p>
      <w:pPr>
        <w:pStyle w:val="Heading2"/>
      </w:pPr>
      <w:bookmarkStart w:id="43" w:name="interdependencias-sectoriales"/>
      <w:r>
        <w:t xml:space="preserve">7. Interdependencias Sectoriales</w:t>
      </w:r>
      <w:bookmarkEnd w:id="43"/>
    </w:p>
    <w:p>
      <w:pPr>
        <w:pStyle w:val="FirstParagraph"/>
      </w:pPr>
      <w:r>
        <w:t xml:space="preserve">Una de las fortalezas del plan es que los sectores se refuerzan mutuamente. Las principales sinergias:</w:t>
      </w:r>
    </w:p>
    <w:p>
      <w:pPr>
        <w:pStyle w:val="Heading3"/>
      </w:pPr>
      <w:bookmarkStart w:id="44" w:name="circuitos-virtuosos"/>
      <w:r>
        <w:t xml:space="preserve">7.1 Circuitos virtuosos</w:t>
      </w:r>
      <w:bookmarkEnd w:id="44"/>
    </w:p>
    <w:p>
      <w:pPr>
        <w:pStyle w:val="FirstParagraph"/>
      </w:pPr>
      <w:r>
        <w:rPr>
          <w:b/>
        </w:rPr>
        <w:t xml:space="preserve">Educación → Trabajo → Pobreza</w:t>
      </w:r>
      <w:r>
        <w:t xml:space="preserve"> </w:t>
      </w:r>
      <w:r>
        <w:t xml:space="preserve">La inversión en primera infancia (Doc 05) genera personas con mayor capacidad productiva. La Garantía de Empleo (Doc 06) les da trabajo digno. Juntos reducen la pobreza estructuralmente, no con transferencias.</w:t>
      </w:r>
    </w:p>
    <w:p>
      <w:pPr>
        <w:pStyle w:val="BodyText"/>
      </w:pPr>
      <w:r>
        <w:rPr>
          <w:b/>
        </w:rPr>
        <w:t xml:space="preserve">Ambiente → Empleo → Salud</w:t>
      </w:r>
      <w:r>
        <w:t xml:space="preserve"> </w:t>
      </w:r>
      <w:r>
        <w:t xml:space="preserve">La transición energética (Doc 07) genera 250.000 empleos verdes (Doc 06). Las ciudades esponja reducen inundaciones y mejoran la salud respiratoria (Doc 04). La agricultura regenerativa produce alimento más sano.</w:t>
      </w:r>
    </w:p>
    <w:p>
      <w:pPr>
        <w:pStyle w:val="BodyText"/>
      </w:pPr>
      <w:r>
        <w:rPr>
          <w:b/>
        </w:rPr>
        <w:t xml:space="preserve">Gobierno digital → Fiscalidad → Todo</w:t>
      </w:r>
      <w:r>
        <w:t xml:space="preserve"> </w:t>
      </w:r>
      <w:r>
        <w:t xml:space="preserve">La digitalización del Estado (Doc 09) mejora la recaudación (Doc 10). Mejor recaudación financia todos los demás programas. La transparencia radical reduce la corrupción, lo que mejora la eficiencia del gasto.</w:t>
      </w:r>
    </w:p>
    <w:p>
      <w:pPr>
        <w:pStyle w:val="BodyText"/>
      </w:pPr>
      <w:r>
        <w:rPr>
          <w:b/>
        </w:rPr>
        <w:t xml:space="preserve">Vivienda → Salud → Educación</w:t>
      </w:r>
      <w:r>
        <w:t xml:space="preserve"> </w:t>
      </w:r>
      <w:r>
        <w:t xml:space="preserve">Una vivienda digna (Doc 03) reduce enfermedades respiratorias (ahorro en salud). Los chicos que duermen bien en un lugar seguro rinden mejor en la escuela. Los barrios organizados se convierten en comunidades que se cuidan (Doc 12).</w:t>
      </w:r>
    </w:p>
    <w:p>
      <w:pPr>
        <w:pStyle w:val="BodyText"/>
      </w:pPr>
      <w:r>
        <w:rPr>
          <w:b/>
        </w:rPr>
        <w:t xml:space="preserve">Seguridad → Comunidad → Economía</w:t>
      </w:r>
      <w:r>
        <w:t xml:space="preserve"> </w:t>
      </w:r>
      <w:r>
        <w:t xml:space="preserve">Territorios de Paz (Doc 08) reducen la violencia. Los barrios seguros atraen inversión, comercio y turismo. Los clubes y bibliotecas (Doc 12) dan espacios para que los jóvenes se encuentren — y eso previene más delitos que cualquier cámara de seguridad.</w:t>
      </w:r>
    </w:p>
    <w:p>
      <w:pPr>
        <w:pStyle w:val="Heading3"/>
      </w:pPr>
      <w:bookmarkStart w:id="45" w:name="dependencias-críticas"/>
      <w:r>
        <w:t xml:space="preserve">7.2 Dependencias críticas</w:t>
      </w:r>
      <w:bookmarkEnd w:id="45"/>
    </w:p>
    <w:p>
      <w:pPr>
        <w:pStyle w:val="FirstParagraph"/>
      </w:pPr>
      <w:r>
        <w:t xml:space="preserve">Algunos programas necesitan que otros funcionen para ser viables:</w:t>
      </w:r>
    </w:p>
    <w:tbl>
      <w:tblPr>
        <w:tblStyle w:val="Table"/>
        <w:tblW w:type="pct" w:w="5000.0"/>
        <w:tblLook w:firstRow="1"/>
      </w:tblPr>
      <w:tblGrid>
        <w:gridCol w:w="3771"/>
        <w:gridCol w:w="4148"/>
      </w:tblGrid>
      <w:tr>
        <w:trPr>
          <w:cnfStyle w:firstRow="1"/>
        </w:trPr>
        <w:tc>
          <w:tcPr>
            <w:tcBorders>
              <w:bottom w:val="single"/>
            </w:tcBorders>
            <w:vAlign w:val="bottom"/>
          </w:tcPr>
          <w:p>
            <w:pPr>
              <w:pStyle w:val="Compact"/>
              <w:jc w:val="left"/>
            </w:pPr>
            <w:r>
              <w:t xml:space="preserve">Programa</w:t>
            </w:r>
          </w:p>
        </w:tc>
        <w:tc>
          <w:tcPr>
            <w:tcBorders>
              <w:bottom w:val="single"/>
            </w:tcBorders>
            <w:vAlign w:val="bottom"/>
          </w:tcPr>
          <w:p>
            <w:pPr>
              <w:pStyle w:val="Compact"/>
              <w:jc w:val="left"/>
            </w:pPr>
            <w:r>
              <w:t xml:space="preserve">Depende de</w:t>
            </w:r>
          </w:p>
        </w:tc>
      </w:tr>
      <w:tr>
        <w:tc>
          <w:p>
            <w:pPr>
              <w:pStyle w:val="Compact"/>
              <w:jc w:val="left"/>
            </w:pPr>
            <w:r>
              <w:t xml:space="preserve">Garantía de Empleo (06-P1)</w:t>
            </w:r>
          </w:p>
        </w:tc>
        <w:tc>
          <w:p>
            <w:pPr>
              <w:pStyle w:val="Compact"/>
              <w:jc w:val="left"/>
            </w:pPr>
            <w:r>
              <w:t xml:space="preserve">Reforma tributaria (10) para financiamiento estable</w:t>
            </w:r>
          </w:p>
        </w:tc>
      </w:tr>
      <w:tr>
        <w:tc>
          <w:p>
            <w:pPr>
              <w:pStyle w:val="Compact"/>
              <w:jc w:val="left"/>
            </w:pPr>
            <w:r>
              <w:t xml:space="preserve">Renovables (07-P1)</w:t>
            </w:r>
          </w:p>
        </w:tc>
        <w:tc>
          <w:p>
            <w:pPr>
              <w:pStyle w:val="Compact"/>
              <w:jc w:val="left"/>
            </w:pPr>
            <w:r>
              <w:t xml:space="preserve">Hub tecnológico (11-P2) para capacidad técnica</w:t>
            </w:r>
          </w:p>
        </w:tc>
      </w:tr>
      <w:tr>
        <w:tc>
          <w:p>
            <w:pPr>
              <w:pStyle w:val="Compact"/>
              <w:jc w:val="left"/>
            </w:pPr>
            <w:r>
              <w:t xml:space="preserve">CAITMA (04a)</w:t>
            </w:r>
          </w:p>
        </w:tc>
        <w:tc>
          <w:p>
            <w:pPr>
              <w:pStyle w:val="Compact"/>
              <w:jc w:val="left"/>
            </w:pPr>
            <w:r>
              <w:t xml:space="preserve">Retención de talento (11-P2) para investigadores</w:t>
            </w:r>
          </w:p>
        </w:tc>
      </w:tr>
      <w:tr>
        <w:tc>
          <w:p>
            <w:pPr>
              <w:pStyle w:val="Compact"/>
              <w:jc w:val="left"/>
            </w:pPr>
            <w:r>
              <w:t xml:space="preserve">Turismo regenerativo (11-P5)</w:t>
            </w:r>
          </w:p>
        </w:tc>
        <w:tc>
          <w:p>
            <w:pPr>
              <w:pStyle w:val="Compact"/>
              <w:jc w:val="left"/>
            </w:pPr>
            <w:r>
              <w:t xml:space="preserve">Infraestructura ambiental (07) y cultural (12)</w:t>
            </w:r>
          </w:p>
        </w:tc>
      </w:tr>
      <w:tr>
        <w:tc>
          <w:p>
            <w:pPr>
              <w:pStyle w:val="Compact"/>
              <w:jc w:val="left"/>
            </w:pPr>
            <w:r>
              <w:t xml:space="preserve">Presupuesto participativo (09-P2)</w:t>
            </w:r>
          </w:p>
        </w:tc>
        <w:tc>
          <w:p>
            <w:pPr>
              <w:pStyle w:val="Compact"/>
              <w:jc w:val="left"/>
            </w:pPr>
            <w:r>
              <w:t xml:space="preserve">Argentina digital (09-P1) como plataforma</w:t>
            </w:r>
          </w:p>
        </w:tc>
      </w:tr>
      <w:tr>
        <w:tc>
          <w:p>
            <w:pPr>
              <w:pStyle w:val="Compact"/>
              <w:jc w:val="left"/>
            </w:pPr>
            <w:r>
              <w:t xml:space="preserve">Justicia restaurativa (08-P3)</w:t>
            </w:r>
          </w:p>
        </w:tc>
        <w:tc>
          <w:p>
            <w:pPr>
              <w:pStyle w:val="Compact"/>
              <w:jc w:val="left"/>
            </w:pPr>
            <w:r>
              <w:t xml:space="preserve">Centros de Vida comunitarios (12-P1) como espacios</w:t>
            </w:r>
          </w:p>
        </w:tc>
      </w:tr>
    </w:tbl>
    <w:p>
      <w:r>
        <w:pict>
          <v:rect style="width:0;height:1.5pt" o:hralign="center" o:hrstd="t" o:hr="t"/>
        </w:pict>
      </w:r>
    </w:p>
    <w:p>
      <w:pPr>
        <w:pStyle w:val="Heading2"/>
      </w:pPr>
      <w:bookmarkStart w:id="46" w:name="qué-argentina-resulta-en-2031"/>
      <w:r>
        <w:t xml:space="preserve">8. ¿Qué Argentina resulta en 2031?</w:t>
      </w:r>
      <w:bookmarkEnd w:id="46"/>
    </w:p>
    <w:p>
      <w:pPr>
        <w:pStyle w:val="FirstParagraph"/>
      </w:pPr>
      <w:r>
        <w:t xml:space="preserve">Si Argentina Próspera se ejecuta con razonable fidelidad, el país en 2031 se vería así:</w:t>
      </w:r>
    </w:p>
    <w:p>
      <w:pPr>
        <w:pStyle w:val="Heading3"/>
      </w:pPr>
      <w:bookmarkStart w:id="47" w:name="indicadores-clave-proyectados"/>
      <w:r>
        <w:t xml:space="preserve">Indicadores clave proyectados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2026 (hoy)</w:t>
            </w:r>
          </w:p>
        </w:tc>
        <w:tc>
          <w:tcPr>
            <w:tcBorders>
              <w:bottom w:val="single"/>
            </w:tcBorders>
            <w:vAlign w:val="bottom"/>
          </w:tcPr>
          <w:p>
            <w:pPr>
              <w:pStyle w:val="Compact"/>
              <w:jc w:val="left"/>
            </w:pPr>
            <w:r>
              <w:t xml:space="preserve">2031 (meta)</w:t>
            </w:r>
          </w:p>
        </w:tc>
        <w:tc>
          <w:tcPr>
            <w:tcBorders>
              <w:bottom w:val="single"/>
            </w:tcBorders>
            <w:vAlign w:val="bottom"/>
          </w:tcPr>
          <w:p>
            <w:pPr>
              <w:pStyle w:val="Compact"/>
              <w:jc w:val="left"/>
            </w:pPr>
            <w:r>
              <w:t xml:space="preserve">Cambio</w:t>
            </w:r>
          </w:p>
        </w:tc>
      </w:tr>
      <w:tr>
        <w:tc>
          <w:p>
            <w:pPr>
              <w:pStyle w:val="Compact"/>
              <w:jc w:val="left"/>
            </w:pPr>
            <w:r>
              <w:t xml:space="preserve">Pobreza</w:t>
            </w:r>
          </w:p>
        </w:tc>
        <w:tc>
          <w:p>
            <w:pPr>
              <w:pStyle w:val="Compact"/>
              <w:jc w:val="left"/>
            </w:pPr>
            <w:r>
              <w:t xml:space="preserve">31,6%</w:t>
            </w:r>
          </w:p>
        </w:tc>
        <w:tc>
          <w:p>
            <w:pPr>
              <w:pStyle w:val="Compact"/>
              <w:jc w:val="left"/>
            </w:pPr>
            <w:r>
              <w:t xml:space="preserve">~15%</w:t>
            </w:r>
          </w:p>
        </w:tc>
        <w:tc>
          <w:p>
            <w:pPr>
              <w:pStyle w:val="Compact"/>
              <w:jc w:val="left"/>
            </w:pPr>
            <w:r>
              <w:t xml:space="preserve">-16,6 pp</w:t>
            </w:r>
          </w:p>
        </w:tc>
      </w:tr>
      <w:tr>
        <w:tc>
          <w:p>
            <w:pPr>
              <w:pStyle w:val="Compact"/>
              <w:jc w:val="left"/>
            </w:pPr>
            <w:r>
              <w:t xml:space="preserve">Indigencia</w:t>
            </w:r>
          </w:p>
        </w:tc>
        <w:tc>
          <w:p>
            <w:pPr>
              <w:pStyle w:val="Compact"/>
              <w:jc w:val="left"/>
            </w:pPr>
            <w:r>
              <w:t xml:space="preserve">6,9%</w:t>
            </w:r>
          </w:p>
        </w:tc>
        <w:tc>
          <w:p>
            <w:pPr>
              <w:pStyle w:val="Compact"/>
              <w:jc w:val="left"/>
            </w:pPr>
            <w:r>
              <w:t xml:space="preserve">~2%</w:t>
            </w:r>
          </w:p>
        </w:tc>
        <w:tc>
          <w:p>
            <w:pPr>
              <w:pStyle w:val="Compact"/>
              <w:jc w:val="left"/>
            </w:pPr>
            <w:r>
              <w:t xml:space="preserve">-4,9 pp</w:t>
            </w:r>
          </w:p>
        </w:tc>
      </w:tr>
      <w:tr>
        <w:tc>
          <w:p>
            <w:pPr>
              <w:pStyle w:val="Compact"/>
              <w:jc w:val="left"/>
            </w:pPr>
            <w:r>
              <w:t xml:space="preserve">Informalidad laboral</w:t>
            </w:r>
          </w:p>
        </w:tc>
        <w:tc>
          <w:p>
            <w:pPr>
              <w:pStyle w:val="Compact"/>
              <w:jc w:val="left"/>
            </w:pPr>
            <w:r>
              <w:t xml:space="preserve">43,3%</w:t>
            </w:r>
          </w:p>
        </w:tc>
        <w:tc>
          <w:p>
            <w:pPr>
              <w:pStyle w:val="Compact"/>
              <w:jc w:val="left"/>
            </w:pPr>
            <w:r>
              <w:t xml:space="preserve">~28%</w:t>
            </w:r>
          </w:p>
        </w:tc>
        <w:tc>
          <w:p>
            <w:pPr>
              <w:pStyle w:val="Compact"/>
              <w:jc w:val="left"/>
            </w:pPr>
            <w:r>
              <w:t xml:space="preserve">-15,3 pp</w:t>
            </w:r>
          </w:p>
        </w:tc>
      </w:tr>
      <w:tr>
        <w:tc>
          <w:p>
            <w:pPr>
              <w:pStyle w:val="Compact"/>
              <w:jc w:val="left"/>
            </w:pPr>
            <w:r>
              <w:t xml:space="preserve">Déficit habitacional</w:t>
            </w:r>
          </w:p>
        </w:tc>
        <w:tc>
          <w:p>
            <w:pPr>
              <w:pStyle w:val="Compact"/>
              <w:jc w:val="left"/>
            </w:pPr>
            <w:r>
              <w:t xml:space="preserve">3,24M viviendas</w:t>
            </w:r>
          </w:p>
        </w:tc>
        <w:tc>
          <w:p>
            <w:pPr>
              <w:pStyle w:val="Compact"/>
              <w:jc w:val="left"/>
            </w:pPr>
            <w:r>
              <w:t xml:space="preserve">~2,2M</w:t>
            </w:r>
          </w:p>
        </w:tc>
        <w:tc>
          <w:p>
            <w:pPr>
              <w:pStyle w:val="Compact"/>
              <w:jc w:val="left"/>
            </w:pPr>
            <w:r>
              <w:t xml:space="preserve">-1M viviendas</w:t>
            </w:r>
          </w:p>
        </w:tc>
      </w:tr>
      <w:tr>
        <w:tc>
          <w:p>
            <w:pPr>
              <w:pStyle w:val="Compact"/>
              <w:jc w:val="left"/>
            </w:pPr>
            <w:r>
              <w:t xml:space="preserve">Mortalidad infantil</w:t>
            </w:r>
          </w:p>
        </w:tc>
        <w:tc>
          <w:p>
            <w:pPr>
              <w:pStyle w:val="Compact"/>
              <w:jc w:val="left"/>
            </w:pPr>
            <w:r>
              <w:t xml:space="preserve">9,2‰</w:t>
            </w:r>
          </w:p>
        </w:tc>
        <w:tc>
          <w:p>
            <w:pPr>
              <w:pStyle w:val="Compact"/>
              <w:jc w:val="left"/>
            </w:pPr>
            <w:r>
              <w:t xml:space="preserve">~6‰</w:t>
            </w:r>
          </w:p>
        </w:tc>
        <w:tc>
          <w:p>
            <w:pPr>
              <w:pStyle w:val="Compact"/>
              <w:jc w:val="left"/>
            </w:pPr>
            <w:r>
              <w:t xml:space="preserve">-3,2 pp</w:t>
            </w:r>
          </w:p>
        </w:tc>
      </w:tr>
      <w:tr>
        <w:tc>
          <w:p>
            <w:pPr>
              <w:pStyle w:val="Compact"/>
              <w:jc w:val="left"/>
            </w:pPr>
            <w:r>
              <w:t xml:space="preserve">Cobertura salud territorial</w:t>
            </w:r>
          </w:p>
        </w:tc>
        <w:tc>
          <w:p>
            <w:pPr>
              <w:pStyle w:val="Compact"/>
              <w:jc w:val="left"/>
            </w:pPr>
            <w:r>
              <w:t xml:space="preserve">~40%</w:t>
            </w:r>
          </w:p>
        </w:tc>
        <w:tc>
          <w:p>
            <w:pPr>
              <w:pStyle w:val="Compact"/>
              <w:jc w:val="left"/>
            </w:pPr>
            <w:r>
              <w:t xml:space="preserve">~95%</w:t>
            </w:r>
          </w:p>
        </w:tc>
        <w:tc>
          <w:p>
            <w:pPr>
              <w:pStyle w:val="Compact"/>
              <w:jc w:val="left"/>
            </w:pPr>
            <w:r>
              <w:t xml:space="preserve">+55 pp</w:t>
            </w:r>
          </w:p>
        </w:tc>
      </w:tr>
      <w:tr>
        <w:tc>
          <w:p>
            <w:pPr>
              <w:pStyle w:val="Compact"/>
              <w:jc w:val="left"/>
            </w:pPr>
            <w:r>
              <w:t xml:space="preserve">Educación temprana (0-3 años)</w:t>
            </w:r>
          </w:p>
        </w:tc>
        <w:tc>
          <w:p>
            <w:pPr>
              <w:pStyle w:val="Compact"/>
              <w:jc w:val="left"/>
            </w:pPr>
            <w:r>
              <w:t xml:space="preserve">5,7%</w:t>
            </w:r>
          </w:p>
        </w:tc>
        <w:tc>
          <w:p>
            <w:pPr>
              <w:pStyle w:val="Compact"/>
              <w:jc w:val="left"/>
            </w:pPr>
            <w:r>
              <w:t xml:space="preserve">~60%</w:t>
            </w:r>
          </w:p>
        </w:tc>
        <w:tc>
          <w:p>
            <w:pPr>
              <w:pStyle w:val="Compact"/>
              <w:jc w:val="left"/>
            </w:pPr>
            <w:r>
              <w:t xml:space="preserve">+54 pp</w:t>
            </w:r>
          </w:p>
        </w:tc>
      </w:tr>
      <w:tr>
        <w:tc>
          <w:p>
            <w:pPr>
              <w:pStyle w:val="Compact"/>
              <w:jc w:val="left"/>
            </w:pPr>
            <w:r>
              <w:t xml:space="preserve">Rendimiento PISA (matemática)</w:t>
            </w:r>
          </w:p>
        </w:tc>
        <w:tc>
          <w:p>
            <w:pPr>
              <w:pStyle w:val="Compact"/>
              <w:jc w:val="left"/>
            </w:pPr>
            <w:r>
              <w:t xml:space="preserve">378</w:t>
            </w:r>
          </w:p>
        </w:tc>
        <w:tc>
          <w:p>
            <w:pPr>
              <w:pStyle w:val="Compact"/>
              <w:jc w:val="left"/>
            </w:pPr>
            <w:r>
              <w:t xml:space="preserve">~420</w:t>
            </w:r>
          </w:p>
        </w:tc>
        <w:tc>
          <w:p>
            <w:pPr>
              <w:pStyle w:val="Compact"/>
              <w:jc w:val="left"/>
            </w:pPr>
            <w:r>
              <w:t xml:space="preserve">+42 puntos</w:t>
            </w:r>
          </w:p>
        </w:tc>
      </w:tr>
      <w:tr>
        <w:tc>
          <w:p>
            <w:pPr>
              <w:pStyle w:val="Compact"/>
              <w:jc w:val="left"/>
            </w:pPr>
            <w:r>
              <w:t xml:space="preserve">Matriz energética renovable</w:t>
            </w:r>
          </w:p>
        </w:tc>
        <w:tc>
          <w:p>
            <w:pPr>
              <w:pStyle w:val="Compact"/>
              <w:jc w:val="left"/>
            </w:pPr>
            <w:r>
              <w:t xml:space="preserve">~15%</w:t>
            </w:r>
          </w:p>
        </w:tc>
        <w:tc>
          <w:p>
            <w:pPr>
              <w:pStyle w:val="Compact"/>
              <w:jc w:val="left"/>
            </w:pPr>
            <w:r>
              <w:t xml:space="preserve">~50%</w:t>
            </w:r>
          </w:p>
        </w:tc>
        <w:tc>
          <w:p>
            <w:pPr>
              <w:pStyle w:val="Compact"/>
              <w:jc w:val="left"/>
            </w:pPr>
            <w:r>
              <w:t xml:space="preserve">+35 pp</w:t>
            </w:r>
          </w:p>
        </w:tc>
      </w:tr>
      <w:tr>
        <w:tc>
          <w:p>
            <w:pPr>
              <w:pStyle w:val="Compact"/>
              <w:jc w:val="left"/>
            </w:pPr>
            <w:r>
              <w:t xml:space="preserve">Deforestación neta</w:t>
            </w:r>
          </w:p>
        </w:tc>
        <w:tc>
          <w:p>
            <w:pPr>
              <w:pStyle w:val="Compact"/>
              <w:jc w:val="left"/>
            </w:pPr>
            <w:r>
              <w:t xml:space="preserve">210.000 ha/año</w:t>
            </w:r>
          </w:p>
        </w:tc>
        <w:tc>
          <w:p>
            <w:pPr>
              <w:pStyle w:val="Compact"/>
              <w:jc w:val="left"/>
            </w:pPr>
            <w:r>
              <w:t xml:space="preserve">0</w:t>
            </w:r>
          </w:p>
        </w:tc>
        <w:tc>
          <w:p>
            <w:pPr>
              <w:pStyle w:val="Compact"/>
              <w:jc w:val="left"/>
            </w:pPr>
            <w:r>
              <w:t xml:space="preserve">-100%</w:t>
            </w:r>
          </w:p>
        </w:tc>
      </w:tr>
      <w:tr>
        <w:tc>
          <w:p>
            <w:pPr>
              <w:pStyle w:val="Compact"/>
              <w:jc w:val="left"/>
            </w:pPr>
            <w:r>
              <w:t xml:space="preserve">Exportaciones tech</w:t>
            </w:r>
          </w:p>
        </w:tc>
        <w:tc>
          <w:p>
            <w:pPr>
              <w:pStyle w:val="Compact"/>
              <w:jc w:val="left"/>
            </w:pPr>
            <w:r>
              <w:t xml:space="preserve">USD 9.000M</w:t>
            </w:r>
          </w:p>
        </w:tc>
        <w:tc>
          <w:p>
            <w:pPr>
              <w:pStyle w:val="Compact"/>
              <w:jc w:val="left"/>
            </w:pPr>
            <w:r>
              <w:t xml:space="preserve">USD 18.000M</w:t>
            </w:r>
          </w:p>
        </w:tc>
        <w:tc>
          <w:p>
            <w:pPr>
              <w:pStyle w:val="Compact"/>
              <w:jc w:val="left"/>
            </w:pPr>
            <w:r>
              <w:t xml:space="preserve">+100%</w:t>
            </w:r>
          </w:p>
        </w:tc>
      </w:tr>
      <w:tr>
        <w:tc>
          <w:p>
            <w:pPr>
              <w:pStyle w:val="Compact"/>
              <w:jc w:val="left"/>
            </w:pPr>
            <w:r>
              <w:t xml:space="preserve">Ingresos turísticos</w:t>
            </w:r>
          </w:p>
        </w:tc>
        <w:tc>
          <w:p>
            <w:pPr>
              <w:pStyle w:val="Compact"/>
              <w:jc w:val="left"/>
            </w:pPr>
            <w:r>
              <w:t xml:space="preserve">USD 5.000M</w:t>
            </w:r>
          </w:p>
        </w:tc>
        <w:tc>
          <w:p>
            <w:pPr>
              <w:pStyle w:val="Compact"/>
              <w:jc w:val="left"/>
            </w:pPr>
            <w:r>
              <w:t xml:space="preserve">USD 10.000M</w:t>
            </w:r>
          </w:p>
        </w:tc>
        <w:tc>
          <w:p>
            <w:pPr>
              <w:pStyle w:val="Compact"/>
              <w:jc w:val="left"/>
            </w:pPr>
            <w:r>
              <w:t xml:space="preserve">+100%</w:t>
            </w:r>
          </w:p>
        </w:tc>
      </w:tr>
      <w:tr>
        <w:tc>
          <w:p>
            <w:pPr>
              <w:pStyle w:val="Compact"/>
              <w:jc w:val="left"/>
            </w:pPr>
            <w:r>
              <w:t xml:space="preserve">Transparencia (Transparency Intl)</w:t>
            </w:r>
          </w:p>
        </w:tc>
        <w:tc>
          <w:p>
            <w:pPr>
              <w:pStyle w:val="Compact"/>
              <w:jc w:val="left"/>
            </w:pPr>
            <w:r>
              <w:t xml:space="preserve">36 puntos</w:t>
            </w:r>
          </w:p>
        </w:tc>
        <w:tc>
          <w:p>
            <w:pPr>
              <w:pStyle w:val="Compact"/>
              <w:jc w:val="left"/>
            </w:pPr>
            <w:r>
              <w:t xml:space="preserve">~50 puntos</w:t>
            </w:r>
          </w:p>
        </w:tc>
        <w:tc>
          <w:p>
            <w:pPr>
              <w:pStyle w:val="Compact"/>
              <w:jc w:val="left"/>
            </w:pPr>
            <w:r>
              <w:t xml:space="preserve">+14 puntos</w:t>
            </w:r>
          </w:p>
        </w:tc>
      </w:tr>
      <w:tr>
        <w:tc>
          <w:p>
            <w:pPr>
              <w:pStyle w:val="Compact"/>
              <w:jc w:val="left"/>
            </w:pPr>
            <w:r>
              <w:t xml:space="preserve">Emisiones CO₂</w:t>
            </w:r>
          </w:p>
        </w:tc>
        <w:tc>
          <w:p>
            <w:pPr>
              <w:pStyle w:val="Compact"/>
              <w:jc w:val="left"/>
            </w:pPr>
            <w:r>
              <w:t xml:space="preserve">401 MtCO₂e</w:t>
            </w:r>
          </w:p>
        </w:tc>
        <w:tc>
          <w:p>
            <w:pPr>
              <w:pStyle w:val="Compact"/>
              <w:jc w:val="left"/>
            </w:pPr>
            <w:r>
              <w:t xml:space="preserve">~240 MtCO₂e</w:t>
            </w:r>
          </w:p>
        </w:tc>
        <w:tc>
          <w:p>
            <w:pPr>
              <w:pStyle w:val="Compact"/>
              <w:jc w:val="left"/>
            </w:pPr>
            <w:r>
              <w:t xml:space="preserve">-40%</w:t>
            </w:r>
          </w:p>
        </w:tc>
      </w:tr>
    </w:tbl>
    <w:p>
      <w:pPr>
        <w:pStyle w:val="Heading3"/>
      </w:pPr>
      <w:bookmarkStart w:id="48" w:name="lo-que-los-números-no-capturan"/>
      <w:r>
        <w:t xml:space="preserve">Lo que los números no capturan</w:t>
      </w:r>
      <w:bookmarkEnd w:id="48"/>
    </w:p>
    <w:p>
      <w:pPr>
        <w:numPr>
          <w:ilvl w:val="0"/>
          <w:numId w:val="1004"/>
        </w:numPr>
        <w:pStyle w:val="Compact"/>
      </w:pPr>
      <w:r>
        <w:t xml:space="preserve">500.000 familias con vivienda digna construida en comunidad</w:t>
      </w:r>
    </w:p>
    <w:p>
      <w:pPr>
        <w:numPr>
          <w:ilvl w:val="0"/>
          <w:numId w:val="1004"/>
        </w:numPr>
        <w:pStyle w:val="Compact"/>
      </w:pPr>
      <w:r>
        <w:t xml:space="preserve">5.000 equipos de salud que conocen a cada vecino por nombre</w:t>
      </w:r>
    </w:p>
    <w:p>
      <w:pPr>
        <w:numPr>
          <w:ilvl w:val="0"/>
          <w:numId w:val="1004"/>
        </w:numPr>
        <w:pStyle w:val="Compact"/>
      </w:pPr>
      <w:r>
        <w:t xml:space="preserve">Niños que van al jardín desde los 45 días con desayuno, almuerzo y merienda</w:t>
      </w:r>
    </w:p>
    <w:p>
      <w:pPr>
        <w:numPr>
          <w:ilvl w:val="0"/>
          <w:numId w:val="1004"/>
        </w:numPr>
        <w:pStyle w:val="Compact"/>
      </w:pPr>
      <w:r>
        <w:t xml:space="preserve">Jóvenes con 3 actividades extracurriculares gratuitas</w:t>
      </w:r>
    </w:p>
    <w:p>
      <w:pPr>
        <w:numPr>
          <w:ilvl w:val="0"/>
          <w:numId w:val="1004"/>
        </w:numPr>
        <w:pStyle w:val="Compact"/>
      </w:pPr>
      <w:r>
        <w:t xml:space="preserve">Barrios donde se puede caminar, pedalear, jugar</w:t>
      </w:r>
    </w:p>
    <w:p>
      <w:pPr>
        <w:numPr>
          <w:ilvl w:val="0"/>
          <w:numId w:val="1004"/>
        </w:numPr>
        <w:pStyle w:val="Compact"/>
      </w:pPr>
      <w:r>
        <w:t xml:space="preserve">Adultos mayores que no están solos</w:t>
      </w:r>
    </w:p>
    <w:p>
      <w:pPr>
        <w:numPr>
          <w:ilvl w:val="0"/>
          <w:numId w:val="1004"/>
        </w:numPr>
        <w:pStyle w:val="Compact"/>
      </w:pPr>
      <w:r>
        <w:t xml:space="preserve">40 lenguas indígenas con educación bilingüe</w:t>
      </w:r>
    </w:p>
    <w:p>
      <w:pPr>
        <w:numPr>
          <w:ilvl w:val="0"/>
          <w:numId w:val="1004"/>
        </w:numPr>
        <w:pStyle w:val="Compact"/>
      </w:pPr>
      <w:r>
        <w:t xml:space="preserve">Un Estado donde ningún trámite requiere hacer fila</w:t>
      </w:r>
    </w:p>
    <w:p>
      <w:pPr>
        <w:numPr>
          <w:ilvl w:val="0"/>
          <w:numId w:val="1004"/>
        </w:numPr>
        <w:pStyle w:val="Compact"/>
      </w:pPr>
      <w:r>
        <w:t xml:space="preserve">Funcionarios cuyo patrimonio es público y verificable</w:t>
      </w:r>
    </w:p>
    <w:p>
      <w:pPr>
        <w:numPr>
          <w:ilvl w:val="0"/>
          <w:numId w:val="1004"/>
        </w:numPr>
        <w:pStyle w:val="Compact"/>
      </w:pPr>
      <w:r>
        <w:t xml:space="preserve">Un país que exporta tecnología, alimentos de calidad e hidrógeno verde</w:t>
      </w:r>
    </w:p>
    <w:p>
      <w:r>
        <w:pict>
          <v:rect style="width:0;height:1.5pt" o:hralign="center" o:hrstd="t" o:hr="t"/>
        </w:pict>
      </w:r>
    </w:p>
    <w:p>
      <w:pPr>
        <w:pStyle w:val="Heading2"/>
      </w:pPr>
      <w:bookmarkStart w:id="49" w:name="Xc66d345ef8b4cb7492448de1d7fab3c4974b00a"/>
      <w:r>
        <w:t xml:space="preserve">9. Conclusión: Los números cierran, la pregunta es de voluntad</w:t>
      </w:r>
      <w:bookmarkEnd w:id="49"/>
    </w:p>
    <w:p>
      <w:pPr>
        <w:pStyle w:val="FirstParagraph"/>
      </w:pPr>
      <w:r>
        <w:t xml:space="preserve">Argentina Próspera cuesta USD 82.122 millones en 5 años — USD 349 por persona por año. Se financia con reforma tributaria progresiva (cobrarle a quien puede), reducción de evasión (cobrar lo que ya se debe), eliminación de subsidios a quienes no los necesitan, y atracción de inversión internacional con proyectos claros.</w:t>
      </w:r>
    </w:p>
    <w:p>
      <w:pPr>
        <w:pStyle w:val="BodyText"/>
      </w:pPr>
      <w:r>
        <w:t xml:space="preserve">El retorno esperado supera ampliamente la inversión: USD 21.500 millones anuales en retornos directos al quinto año, más un multiplicador económico que genera casi USD 28.000 millones en actividad adicional.</w:t>
      </w:r>
    </w:p>
    <w:p>
      <w:pPr>
        <w:pStyle w:val="BodyText"/>
      </w:pPr>
      <w:r>
        <w:t xml:space="preserve">No es fantasía. Cada política tiene precedente internacional. Cada costo está calculado con datos reales. El balance fiscal es positivo incluso en el escenario base, y manejable incluso en el pesimista.</w:t>
      </w:r>
    </w:p>
    <w:p>
      <w:pPr>
        <w:pStyle w:val="BodyText"/>
      </w:pPr>
      <w:r>
        <w:t xml:space="preserve">La pregunta no es si Argentina puede pagarlo — puede. La pregunta no es si funciona — hay evidencia de que funciona. La pregunta es si hay voluntad política, social y ciudadana para hacerlo.</w:t>
      </w:r>
    </w:p>
    <w:p>
      <w:pPr>
        <w:pStyle w:val="BodyText"/>
      </w:pPr>
      <w:r>
        <w:t xml:space="preserve">Ese es el verdadero desafío: no la aritmética sino la decisión. No los números sino la convicción de que un país mejor no es un sueño — es una elección.</w:t>
      </w:r>
    </w:p>
    <w:p>
      <w:r>
        <w:pict>
          <v:rect style="width:0;height:1.5pt" o:hralign="center" o:hrstd="t" o:hr="t"/>
        </w:pict>
      </w:r>
    </w:p>
    <w:p>
      <w:pPr>
        <w:pStyle w:val="FirstParagraph"/>
      </w:pPr>
      <w:r>
        <w:rPr>
          <w:i/>
        </w:rPr>
        <w:t xml:space="preserve">Documento creado: Febrero 2026</w:t>
      </w:r>
      <w:r>
        <w:t xml:space="preserve"> </w:t>
      </w:r>
      <w:r>
        <w:rPr>
          <w:i/>
        </w:rPr>
        <w:t xml:space="preserve">Proyecto Argentina Próspera 2027-2031</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2026-02-28T18:37:15Z</dcterms:created>
  <dcterms:modified xsi:type="dcterms:W3CDTF">2026-02-28T18:37:15Z</dcterms:modified>
</cp:coreProperties>
</file>

<file path=docProps/custom.xml><?xml version="1.0" encoding="utf-8"?>
<Properties xmlns="http://schemas.openxmlformats.org/officeDocument/2006/custom-properties" xmlns:vt="http://schemas.openxmlformats.org/officeDocument/2006/docPropsVTypes"/>
</file>