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odelo-económico-cuantitativo"/>
      <w:r>
        <w:t xml:space="preserve">Modelo Económico Cuantitativo</w:t>
      </w:r>
      <w:bookmarkEnd w:id="20"/>
    </w:p>
    <w:p>
      <w:pPr>
        <w:pStyle w:val="Heading2"/>
      </w:pPr>
      <w:bookmarkStart w:id="21" w:name="Xf5ed69c8b4938ee3596763e8bec320eb67a8c52"/>
      <w:r>
        <w:t xml:space="preserve">Argentina Próspera 2027-2031 — Documento de Síntesis 15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ara-qué-sirve-este-documento"/>
      <w:r>
        <w:t xml:space="preserve">Para qué sirve este documento</w:t>
      </w:r>
      <w:bookmarkEnd w:id="22"/>
    </w:p>
    <w:p>
      <w:pPr>
        <w:pStyle w:val="FirstParagraph"/>
      </w:pPr>
      <w:r>
        <w:t xml:space="preserve">Este modelo traduce las 50 políticas de Argentina Próspera en proyecciones económicas: cómo evoluciona el PBI, el empleo, la pobreza, la recaudación y la deuda bajo diferentes escenarios. No es una predicción — es una simulación basada en supuestos explícitos y multiplicadores documentados. Su función es mostrar que el plan es internamente consistente y económicamente viable.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upuestos-macroeconómicos-base"/>
      <w:r>
        <w:t xml:space="preserve">1. Supuestos Macroeconómicos Base</w:t>
      </w:r>
      <w:bookmarkEnd w:id="23"/>
    </w:p>
    <w:p>
      <w:pPr>
        <w:pStyle w:val="Heading3"/>
      </w:pPr>
      <w:bookmarkStart w:id="24" w:name="punto-de-partida-argentina-2026"/>
      <w:r>
        <w:t xml:space="preserve">1.1 Punto de partida: Argentina 2026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PBI nominal</w:t>
            </w:r>
          </w:p>
        </w:tc>
        <w:tc>
          <w:p>
            <w:pPr>
              <w:pStyle w:val="Compact"/>
              <w:jc w:val="left"/>
            </w:pPr>
            <w:r>
              <w:t xml:space="preserve">USD 650.000M</w:t>
            </w:r>
          </w:p>
        </w:tc>
        <w:tc>
          <w:p>
            <w:pPr>
              <w:pStyle w:val="Compact"/>
              <w:jc w:val="left"/>
            </w:pPr>
            <w:r>
              <w:t xml:space="preserve">Estimación FMI/INDEC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PBI per cápita</w:t>
            </w:r>
          </w:p>
        </w:tc>
        <w:tc>
          <w:p>
            <w:pPr>
              <w:pStyle w:val="Compact"/>
              <w:jc w:val="left"/>
            </w:pPr>
            <w:r>
              <w:t xml:space="preserve">USD 13.830</w:t>
            </w:r>
          </w:p>
        </w:tc>
        <w:tc>
          <w:p>
            <w:pPr>
              <w:pStyle w:val="Compact"/>
              <w:jc w:val="left"/>
            </w:pPr>
            <w:r>
              <w:t xml:space="preserve">PBI/población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Población</w:t>
            </w:r>
          </w:p>
        </w:tc>
        <w:tc>
          <w:p>
            <w:pPr>
              <w:pStyle w:val="Compact"/>
              <w:jc w:val="left"/>
            </w:pPr>
            <w:r>
              <w:t xml:space="preserve">47 millones</w:t>
            </w:r>
          </w:p>
        </w:tc>
        <w:tc>
          <w:p>
            <w:pPr>
              <w:pStyle w:val="Compact"/>
              <w:jc w:val="left"/>
            </w:pPr>
            <w:r>
              <w:t xml:space="preserve">Proyección INDEC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Inflación</w:t>
            </w:r>
          </w:p>
        </w:tc>
        <w:tc>
          <w:p>
            <w:pPr>
              <w:pStyle w:val="Compact"/>
              <w:jc w:val="left"/>
            </w:pPr>
            <w:r>
              <w:t xml:space="preserve">~30% anual (desacelerando)</w:t>
            </w:r>
          </w:p>
        </w:tc>
        <w:tc>
          <w:p>
            <w:pPr>
              <w:pStyle w:val="Compact"/>
              <w:jc w:val="left"/>
            </w:pPr>
            <w:r>
              <w:t xml:space="preserve">Tendencia 2025-2026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Tipo de cambio</w:t>
            </w:r>
          </w:p>
        </w:tc>
        <w:tc>
          <w:p>
            <w:pPr>
              <w:pStyle w:val="Compact"/>
              <w:jc w:val="left"/>
            </w:pPr>
            <w:r>
              <w:t xml:space="preserve">Administrado/competitivo</w:t>
            </w:r>
          </w:p>
        </w:tc>
        <w:tc>
          <w:p>
            <w:pPr>
              <w:pStyle w:val="Compact"/>
              <w:jc w:val="left"/>
            </w:pPr>
            <w:r>
              <w:t xml:space="preserve">Supuesto de política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Deuda pública</w:t>
            </w:r>
          </w:p>
        </w:tc>
        <w:tc>
          <w:p>
            <w:pPr>
              <w:pStyle w:val="Compact"/>
              <w:jc w:val="left"/>
            </w:pPr>
            <w:r>
              <w:t xml:space="preserve">~60% del PBI</w:t>
            </w:r>
          </w:p>
        </w:tc>
        <w:tc>
          <w:p>
            <w:pPr>
              <w:pStyle w:val="Compact"/>
              <w:jc w:val="left"/>
            </w:pPr>
            <w:r>
              <w:t xml:space="preserve">FMI + bonistas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Deuda FMI</w:t>
            </w:r>
          </w:p>
        </w:tc>
        <w:tc>
          <w:p>
            <w:pPr>
              <w:pStyle w:val="Compact"/>
              <w:jc w:val="left"/>
            </w:pPr>
            <w:r>
              <w:t xml:space="preserve">USD 57.100M</w:t>
            </w:r>
          </w:p>
        </w:tc>
        <w:tc>
          <w:p>
            <w:pPr>
              <w:pStyle w:val="Compact"/>
              <w:jc w:val="left"/>
            </w:pPr>
            <w:r>
              <w:t xml:space="preserve">FMI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Presión tributaria</w:t>
            </w:r>
          </w:p>
        </w:tc>
        <w:tc>
          <w:p>
            <w:pPr>
              <w:pStyle w:val="Compact"/>
              <w:jc w:val="left"/>
            </w:pPr>
            <w:r>
              <w:t xml:space="preserve">21,3% del PBI</w:t>
            </w:r>
          </w:p>
        </w:tc>
        <w:tc>
          <w:p>
            <w:pPr>
              <w:pStyle w:val="Compact"/>
              <w:jc w:val="left"/>
            </w:pPr>
            <w:r>
              <w:t xml:space="preserve">AFIP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Gasto público total</w:t>
            </w:r>
          </w:p>
        </w:tc>
        <w:tc>
          <w:p>
            <w:pPr>
              <w:pStyle w:val="Compact"/>
              <w:jc w:val="left"/>
            </w:pPr>
            <w:r>
              <w:t xml:space="preserve">~40% del PBI</w:t>
            </w:r>
          </w:p>
        </w:tc>
        <w:tc>
          <w:p>
            <w:pPr>
              <w:pStyle w:val="Compact"/>
              <w:jc w:val="left"/>
            </w:pPr>
            <w:r>
              <w:t xml:space="preserve">Presupuesto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Superávit comercial</w:t>
            </w:r>
          </w:p>
        </w:tc>
        <w:tc>
          <w:p>
            <w:pPr>
              <w:pStyle w:val="Compact"/>
              <w:jc w:val="left"/>
            </w:pPr>
            <w:r>
              <w:t xml:space="preserve">USD 18.900M</w:t>
            </w:r>
          </w:p>
        </w:tc>
        <w:tc>
          <w:p>
            <w:pPr>
              <w:pStyle w:val="Compact"/>
              <w:jc w:val="left"/>
            </w:pPr>
            <w:r>
              <w:t xml:space="preserve">INDEC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Reservas internacionales</w:t>
            </w:r>
          </w:p>
        </w:tc>
        <w:tc>
          <w:p>
            <w:pPr>
              <w:pStyle w:val="Compact"/>
              <w:jc w:val="left"/>
            </w:pPr>
            <w:r>
              <w:t xml:space="preserve">~USD 30.000M</w:t>
            </w:r>
          </w:p>
        </w:tc>
        <w:tc>
          <w:p>
            <w:pPr>
              <w:pStyle w:val="Compact"/>
              <w:jc w:val="left"/>
            </w:pPr>
            <w:r>
              <w:t xml:space="preserve">BCRA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Pobreza</w:t>
            </w:r>
          </w:p>
        </w:tc>
        <w:tc>
          <w:p>
            <w:pPr>
              <w:pStyle w:val="Compact"/>
              <w:jc w:val="left"/>
            </w:pPr>
            <w:r>
              <w:t xml:space="preserve">31,6%</w:t>
            </w:r>
          </w:p>
        </w:tc>
        <w:tc>
          <w:p>
            <w:pPr>
              <w:pStyle w:val="Compact"/>
              <w:jc w:val="left"/>
            </w:pPr>
            <w:r>
              <w:t xml:space="preserve">INDEC EPH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Informalidad laboral</w:t>
            </w:r>
          </w:p>
        </w:tc>
        <w:tc>
          <w:p>
            <w:pPr>
              <w:pStyle w:val="Compact"/>
              <w:jc w:val="left"/>
            </w:pPr>
            <w:r>
              <w:t xml:space="preserve">43,3%</w:t>
            </w:r>
          </w:p>
        </w:tc>
        <w:tc>
          <w:p>
            <w:pPr>
              <w:pStyle w:val="Compact"/>
              <w:jc w:val="left"/>
            </w:pPr>
            <w:r>
              <w:t xml:space="preserve">INDEC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Desempleo</w:t>
            </w:r>
          </w:p>
        </w:tc>
        <w:tc>
          <w:p>
            <w:pPr>
              <w:pStyle w:val="Compact"/>
              <w:jc w:val="left"/>
            </w:pPr>
            <w:r>
              <w:t xml:space="preserve">6,6%</w:t>
            </w:r>
          </w:p>
        </w:tc>
        <w:tc>
          <w:p>
            <w:pPr>
              <w:pStyle w:val="Compact"/>
              <w:jc w:val="left"/>
            </w:pPr>
            <w:r>
              <w:t xml:space="preserve">INDEC</w:t>
            </w:r>
          </w:p>
        </w:tc>
      </w:tr>
    </w:tbl>
    <w:p>
      <w:pPr>
        <w:pStyle w:val="Heading3"/>
      </w:pPr>
      <w:bookmarkStart w:id="25" w:name="X85bf4ad3ac32ad295b2c186fbe56b185574c55d"/>
      <w:r>
        <w:t xml:space="preserve">1.2 Supuestos exógenos (no controlados por el plan)</w:t>
      </w:r>
      <w:bookmarkEnd w:id="25"/>
    </w:p>
    <w:tbl>
      <w:tblPr>
        <w:tblStyle w:val="Table"/>
        <w:tblW w:type="pct" w:w="5000.0"/>
        <w:tblLook w:firstRow="1"/>
      </w:tblPr>
      <w:tblGrid>
        <w:gridCol w:w="1721"/>
        <w:gridCol w:w="2410"/>
        <w:gridCol w:w="1893"/>
        <w:gridCol w:w="189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Supuesto base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Pesimista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Optimista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Crecimiento global</w:t>
            </w:r>
          </w:p>
        </w:tc>
        <w:tc>
          <w:p>
            <w:pPr>
              <w:pStyle w:val="Compact"/>
              <w:jc w:val="left"/>
            </w:pPr>
            <w:r>
              <w:t xml:space="preserve">3% anual</w:t>
            </w:r>
          </w:p>
        </w:tc>
        <w:tc>
          <w:p>
            <w:pPr>
              <w:pStyle w:val="Compact"/>
              <w:jc w:val="left"/>
            </w:pPr>
            <w:r>
              <w:t xml:space="preserve">1,5%</w:t>
            </w:r>
          </w:p>
        </w:tc>
        <w:tc>
          <w:p>
            <w:pPr>
              <w:pStyle w:val="Compact"/>
              <w:jc w:val="left"/>
            </w:pPr>
            <w:r>
              <w:t xml:space="preserve">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Precio de la soja</w:t>
            </w:r>
          </w:p>
        </w:tc>
        <w:tc>
          <w:p>
            <w:pPr>
              <w:pStyle w:val="Compact"/>
              <w:jc w:val="left"/>
            </w:pPr>
            <w:r>
              <w:t xml:space="preserve">USD 350-400/ton</w:t>
            </w:r>
          </w:p>
        </w:tc>
        <w:tc>
          <w:p>
            <w:pPr>
              <w:pStyle w:val="Compact"/>
              <w:jc w:val="left"/>
            </w:pPr>
            <w:r>
              <w:t xml:space="preserve">USD 280</w:t>
            </w:r>
          </w:p>
        </w:tc>
        <w:tc>
          <w:p>
            <w:pPr>
              <w:pStyle w:val="Compact"/>
              <w:jc w:val="left"/>
            </w:pPr>
            <w:r>
              <w:t xml:space="preserve">USD 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Precio del litio</w:t>
            </w:r>
          </w:p>
        </w:tc>
        <w:tc>
          <w:p>
            <w:pPr>
              <w:pStyle w:val="Compact"/>
              <w:jc w:val="left"/>
            </w:pPr>
            <w:r>
              <w:t xml:space="preserve">USD 15.000-20.000/ton</w:t>
            </w:r>
          </w:p>
        </w:tc>
        <w:tc>
          <w:p>
            <w:pPr>
              <w:pStyle w:val="Compact"/>
              <w:jc w:val="left"/>
            </w:pPr>
            <w:r>
              <w:t xml:space="preserve">USD 10.000</w:t>
            </w:r>
          </w:p>
        </w:tc>
        <w:tc>
          <w:p>
            <w:pPr>
              <w:pStyle w:val="Compact"/>
              <w:jc w:val="left"/>
            </w:pPr>
            <w:r>
              <w:t xml:space="preserve">USD 30.000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Tasa de interés EEUU</w:t>
            </w:r>
          </w:p>
        </w:tc>
        <w:tc>
          <w:p>
            <w:pPr>
              <w:pStyle w:val="Compact"/>
              <w:jc w:val="left"/>
            </w:pPr>
            <w:r>
              <w:t xml:space="preserve">3-4%</w:t>
            </w:r>
          </w:p>
        </w:tc>
        <w:tc>
          <w:p>
            <w:pPr>
              <w:pStyle w:val="Compact"/>
              <w:jc w:val="left"/>
            </w:pPr>
            <w:r>
              <w:t xml:space="preserve">5-6%</w:t>
            </w:r>
          </w:p>
        </w:tc>
        <w:tc>
          <w:p>
            <w:pPr>
              <w:pStyle w:val="Compact"/>
              <w:jc w:val="left"/>
            </w:pPr>
            <w:r>
              <w:t xml:space="preserve">2-3%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Clima (impacto en agricultura)</w:t>
            </w:r>
          </w:p>
        </w:tc>
        <w:tc>
          <w:p>
            <w:pPr>
              <w:pStyle w:val="Compact"/>
              <w:jc w:val="left"/>
            </w:pPr>
            <w:r>
              <w:t xml:space="preserve">Normal/moderado</w:t>
            </w:r>
          </w:p>
        </w:tc>
        <w:tc>
          <w:p>
            <w:pPr>
              <w:pStyle w:val="Compact"/>
              <w:jc w:val="left"/>
            </w:pPr>
            <w:r>
              <w:t xml:space="preserve">Sequía severa 1 año</w:t>
            </w:r>
          </w:p>
        </w:tc>
        <w:tc>
          <w:p>
            <w:pPr>
              <w:pStyle w:val="Compact"/>
              <w:jc w:val="left"/>
            </w:pPr>
            <w:r>
              <w:t xml:space="preserve">Favorable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Demanda global de H2 verde</w:t>
            </w:r>
          </w:p>
        </w:tc>
        <w:tc>
          <w:p>
            <w:pPr>
              <w:pStyle w:val="Compact"/>
              <w:jc w:val="left"/>
            </w:pPr>
            <w:r>
              <w:t xml:space="preserve">Creciente</w:t>
            </w:r>
          </w:p>
        </w:tc>
        <w:tc>
          <w:p>
            <w:pPr>
              <w:pStyle w:val="Compact"/>
              <w:jc w:val="left"/>
            </w:pPr>
            <w:r>
              <w:t xml:space="preserve">Estancada</w:t>
            </w:r>
          </w:p>
        </w:tc>
        <w:tc>
          <w:p>
            <w:pPr>
              <w:pStyle w:val="Compact"/>
              <w:jc w:val="left"/>
            </w:pPr>
            <w:r>
              <w:t xml:space="preserve">Acelerada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modelo-de-ingresos-fiscales"/>
      <w:r>
        <w:t xml:space="preserve">2. Modelo de Ingresos Fiscales</w:t>
      </w:r>
      <w:bookmarkEnd w:id="26"/>
    </w:p>
    <w:p>
      <w:pPr>
        <w:pStyle w:val="Heading3"/>
      </w:pPr>
      <w:bookmarkStart w:id="27" w:name="evolución-de-la-recaudación-usd-maño"/>
      <w:r>
        <w:t xml:space="preserve">2.1 Evolución de la recaudación (USD M/año)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Instrumento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Impuesto a patrimonios</w:t>
            </w:r>
          </w:p>
        </w:tc>
        <w:tc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p>
            <w:pPr>
              <w:pStyle w:val="Compact"/>
              <w:jc w:val="left"/>
            </w:pPr>
            <w:r>
              <w:t xml:space="preserve">2.800</w:t>
            </w:r>
          </w:p>
        </w:tc>
        <w:tc>
          <w:p>
            <w:pPr>
              <w:pStyle w:val="Compact"/>
              <w:jc w:val="left"/>
            </w:pPr>
            <w:r>
              <w:t xml:space="preserve">3.000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Reducción evasión (IVA + Ganancias)</w:t>
            </w:r>
          </w:p>
        </w:tc>
        <w:tc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p>
            <w:pPr>
              <w:pStyle w:val="Compact"/>
              <w:jc w:val="left"/>
            </w:pPr>
            <w:r>
              <w:t xml:space="preserve">3.500</w:t>
            </w:r>
          </w:p>
        </w:tc>
        <w:tc>
          <w:p>
            <w:pPr>
              <w:pStyle w:val="Compact"/>
              <w:jc w:val="left"/>
            </w:pPr>
            <w:r>
              <w:t xml:space="preserve">4.000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Carbon tax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Eliminación subsidios regresivos</w:t>
            </w:r>
          </w:p>
        </w:tc>
        <w:tc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p>
            <w:pPr>
              <w:pStyle w:val="Compact"/>
              <w:jc w:val="left"/>
            </w:pPr>
            <w:r>
              <w:t xml:space="preserve">2.800</w:t>
            </w:r>
          </w:p>
        </w:tc>
        <w:tc>
          <w:p>
            <w:pPr>
              <w:pStyle w:val="Compact"/>
              <w:jc w:val="left"/>
            </w:pPr>
            <w:r>
              <w:t xml:space="preserve">3.000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Captura valor + bonos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p>
            <w:pPr>
              <w:pStyle w:val="Compact"/>
              <w:jc w:val="left"/>
            </w:pPr>
            <w:r>
              <w:t xml:space="preserve">2.500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Subtotal ingresos nuevos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5.300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7.500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10.300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12.100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Redireccionamiento gasto existente</w:t>
            </w:r>
          </w:p>
        </w:tc>
        <w:tc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p>
            <w:pPr>
              <w:pStyle w:val="Compact"/>
              <w:jc w:val="left"/>
            </w:pPr>
            <w:r>
              <w:t xml:space="preserve">3.500</w:t>
            </w:r>
          </w:p>
        </w:tc>
        <w:tc>
          <w:p>
            <w:pPr>
              <w:pStyle w:val="Compact"/>
              <w:jc w:val="left"/>
            </w:pPr>
            <w:r>
              <w:t xml:space="preserve">3.500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Multilaterales (préstamos blandos)</w:t>
            </w:r>
          </w:p>
        </w:tc>
        <w:tc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p>
            <w:pPr>
              <w:pStyle w:val="Compact"/>
              <w:jc w:val="left"/>
            </w:pPr>
            <w:r>
              <w:t xml:space="preserve">1.500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PPP + inversión privada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p>
            <w:pPr>
              <w:pStyle w:val="Compact"/>
              <w:jc w:val="left"/>
            </w:pPr>
            <w:r>
              <w:t xml:space="preserve">3.000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financiamiento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10.800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14.000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17.300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19.600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22.000</w:t>
            </w:r>
          </w:p>
        </w:tc>
      </w:tr>
    </w:tbl>
    <w:p>
      <w:pPr>
        <w:pStyle w:val="Heading3"/>
      </w:pPr>
      <w:bookmarkStart w:id="28" w:name="presión-tributaria-proyectada"/>
      <w:r>
        <w:t xml:space="preserve">2.2 Presión tributaria proyectada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Presión 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Ingresos nuevos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Nueva presión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Nivel comparable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t xml:space="preserve">21,3%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21,3%</w:t>
            </w:r>
          </w:p>
        </w:tc>
        <w:tc>
          <w:p>
            <w:pPr>
              <w:pStyle w:val="Compact"/>
              <w:jc w:val="left"/>
            </w:pPr>
            <w:r>
              <w:t xml:space="preserve">Chile (21,1%)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p>
            <w:pPr>
              <w:pStyle w:val="Compact"/>
              <w:jc w:val="left"/>
            </w:pPr>
            <w:r>
              <w:t xml:space="preserve">21,3%</w:t>
            </w:r>
          </w:p>
        </w:tc>
        <w:tc>
          <w:p>
            <w:pPr>
              <w:pStyle w:val="Compact"/>
              <w:jc w:val="left"/>
            </w:pPr>
            <w:r>
              <w:t xml:space="preserve">+0,8%</w:t>
            </w:r>
          </w:p>
        </w:tc>
        <w:tc>
          <w:p>
            <w:pPr>
              <w:pStyle w:val="Compact"/>
              <w:jc w:val="left"/>
            </w:pPr>
            <w:r>
              <w:t xml:space="preserve">22,1%</w:t>
            </w:r>
          </w:p>
        </w:tc>
        <w:tc>
          <w:p>
            <w:pPr>
              <w:pStyle w:val="Compact"/>
              <w:jc w:val="left"/>
            </w:pPr>
            <w:r>
              <w:t xml:space="preserve">México (22,5%)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p>
            <w:pPr>
              <w:pStyle w:val="Compact"/>
              <w:jc w:val="left"/>
            </w:pPr>
            <w:r>
              <w:t xml:space="preserve">21,3%</w:t>
            </w:r>
          </w:p>
        </w:tc>
        <w:tc>
          <w:p>
            <w:pPr>
              <w:pStyle w:val="Compact"/>
              <w:jc w:val="left"/>
            </w:pPr>
            <w:r>
              <w:t xml:space="preserve">+1,1%</w:t>
            </w:r>
          </w:p>
        </w:tc>
        <w:tc>
          <w:p>
            <w:pPr>
              <w:pStyle w:val="Compact"/>
              <w:jc w:val="left"/>
            </w:pPr>
            <w:r>
              <w:t xml:space="preserve">22,4%</w:t>
            </w:r>
          </w:p>
        </w:tc>
        <w:tc>
          <w:p>
            <w:pPr>
              <w:pStyle w:val="Compact"/>
              <w:jc w:val="left"/>
            </w:pPr>
            <w:r>
              <w:t xml:space="preserve">Colombia (22,2%)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p>
            <w:pPr>
              <w:pStyle w:val="Compact"/>
              <w:jc w:val="left"/>
            </w:pPr>
            <w:r>
              <w:t xml:space="preserve">21,3%</w:t>
            </w:r>
          </w:p>
        </w:tc>
        <w:tc>
          <w:p>
            <w:pPr>
              <w:pStyle w:val="Compact"/>
              <w:jc w:val="left"/>
            </w:pPr>
            <w:r>
              <w:t xml:space="preserve">+1,5%</w:t>
            </w:r>
          </w:p>
        </w:tc>
        <w:tc>
          <w:p>
            <w:pPr>
              <w:pStyle w:val="Compact"/>
              <w:jc w:val="left"/>
            </w:pPr>
            <w:r>
              <w:t xml:space="preserve">22,8%</w:t>
            </w:r>
          </w:p>
        </w:tc>
        <w:tc>
          <w:p>
            <w:pPr>
              <w:pStyle w:val="Compact"/>
              <w:jc w:val="left"/>
            </w:pPr>
            <w:r>
              <w:t xml:space="preserve">Costa Rica (23,5%)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p>
            <w:pPr>
              <w:pStyle w:val="Compact"/>
              <w:jc w:val="left"/>
            </w:pPr>
            <w:r>
              <w:t xml:space="preserve">21,3%</w:t>
            </w:r>
          </w:p>
        </w:tc>
        <w:tc>
          <w:p>
            <w:pPr>
              <w:pStyle w:val="Compact"/>
              <w:jc w:val="left"/>
            </w:pPr>
            <w:r>
              <w:t xml:space="preserve">+1,8%</w:t>
            </w:r>
          </w:p>
        </w:tc>
        <w:tc>
          <w:p>
            <w:pPr>
              <w:pStyle w:val="Compact"/>
              <w:jc w:val="left"/>
            </w:pPr>
            <w:r>
              <w:t xml:space="preserve">23,1%</w:t>
            </w:r>
          </w:p>
        </w:tc>
        <w:tc>
          <w:p>
            <w:pPr>
              <w:pStyle w:val="Compact"/>
              <w:jc w:val="left"/>
            </w:pPr>
            <w:r>
              <w:t xml:space="preserve">Uruguay (23,6%)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2031</w:t>
            </w:r>
          </w:p>
        </w:tc>
        <w:tc>
          <w:p>
            <w:pPr>
              <w:pStyle w:val="Compact"/>
              <w:jc w:val="left"/>
            </w:pPr>
            <w:r>
              <w:t xml:space="preserve">21,3%</w:t>
            </w:r>
          </w:p>
        </w:tc>
        <w:tc>
          <w:p>
            <w:pPr>
              <w:pStyle w:val="Compact"/>
              <w:jc w:val="left"/>
            </w:pPr>
            <w:r>
              <w:t xml:space="preserve">+2,1%</w:t>
            </w:r>
          </w:p>
        </w:tc>
        <w:tc>
          <w:p>
            <w:pPr>
              <w:pStyle w:val="Compact"/>
              <w:jc w:val="left"/>
            </w:pPr>
            <w:r>
              <w:t xml:space="preserve">23,4%</w:t>
            </w:r>
          </w:p>
        </w:tc>
        <w:tc>
          <w:p>
            <w:pPr>
              <w:pStyle w:val="Compact"/>
              <w:jc w:val="left"/>
            </w:pPr>
            <w:r>
              <w:t xml:space="preserve">Promedio OCDE: 34%</w:t>
            </w:r>
          </w:p>
        </w:tc>
      </w:tr>
    </w:tbl>
    <w:p>
      <w:pPr>
        <w:pStyle w:val="BodyText"/>
      </w:pPr>
      <w:r>
        <w:t xml:space="preserve">La presión tributaria resultante (23,4%) sigue estando</w:t>
      </w:r>
      <w:r>
        <w:t xml:space="preserve"> </w:t>
      </w:r>
      <w:r>
        <w:rPr>
          <w:b/>
        </w:rPr>
        <w:t xml:space="preserve">10 puntos debajo del promedio de la OCDE</w:t>
      </w:r>
      <w:r>
        <w:t xml:space="preserve"> </w:t>
      </w:r>
      <w:r>
        <w:t xml:space="preserve">y al nivel de los países latinoamericanos más ordenados (Uruguay, Costa Rica). No es un nivel confiscatorio — es un nivel de país serio.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modelo-de-gasto-e-inversión"/>
      <w:r>
        <w:t xml:space="preserve">3. Modelo de Gasto e Inversión</w:t>
      </w:r>
      <w:bookmarkEnd w:id="29"/>
    </w:p>
    <w:p>
      <w:pPr>
        <w:pStyle w:val="Heading3"/>
      </w:pPr>
      <w:bookmarkStart w:id="30" w:name="inversión-anual-por-sector-usd-m"/>
      <w:r>
        <w:t xml:space="preserve">3.1 Inversión anual por sector (USD M)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 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Vivienda</w:t>
            </w:r>
          </w:p>
        </w:tc>
        <w:tc>
          <w:p>
            <w:pPr>
              <w:pStyle w:val="Compact"/>
              <w:jc w:val="left"/>
            </w:pPr>
            <w:r>
              <w:t xml:space="preserve">1.200</w:t>
            </w:r>
          </w:p>
        </w:tc>
        <w:tc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p>
            <w:pPr>
              <w:pStyle w:val="Compact"/>
              <w:jc w:val="left"/>
            </w:pPr>
            <w:r>
              <w:t xml:space="preserve">2.700</w:t>
            </w:r>
          </w:p>
        </w:tc>
        <w:tc>
          <w:p>
            <w:pPr>
              <w:pStyle w:val="Compact"/>
              <w:jc w:val="left"/>
            </w:pPr>
            <w:r>
              <w:t xml:space="preserve">2.495</w:t>
            </w:r>
          </w:p>
        </w:tc>
        <w:tc>
          <w:p>
            <w:pPr>
              <w:pStyle w:val="Compact"/>
              <w:jc w:val="left"/>
            </w:pPr>
            <w:r>
              <w:t xml:space="preserve">10.895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Salud (04 + 04a)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1.100</w:t>
            </w:r>
          </w:p>
        </w:tc>
        <w:tc>
          <w:p>
            <w:pPr>
              <w:pStyle w:val="Compact"/>
              <w:jc w:val="left"/>
            </w:pPr>
            <w:r>
              <w:t xml:space="preserve">1.077</w:t>
            </w:r>
          </w:p>
        </w:tc>
        <w:tc>
          <w:p>
            <w:pPr>
              <w:pStyle w:val="Compact"/>
              <w:jc w:val="left"/>
            </w:pPr>
            <w:r>
              <w:t xml:space="preserve">4.677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Educación</w:t>
            </w:r>
          </w:p>
        </w:tc>
        <w:tc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p>
            <w:pPr>
              <w:pStyle w:val="Compact"/>
              <w:jc w:val="left"/>
            </w:pPr>
            <w:r>
              <w:t xml:space="preserve">2.300</w:t>
            </w:r>
          </w:p>
        </w:tc>
        <w:tc>
          <w:p>
            <w:pPr>
              <w:pStyle w:val="Compact"/>
              <w:jc w:val="left"/>
            </w:pPr>
            <w:r>
              <w:t xml:space="preserve">10.800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Trabajo</w:t>
            </w:r>
          </w:p>
        </w:tc>
        <w:tc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p>
            <w:pPr>
              <w:pStyle w:val="Compact"/>
              <w:jc w:val="left"/>
            </w:pPr>
            <w:r>
              <w:t xml:space="preserve">6.500</w:t>
            </w:r>
          </w:p>
        </w:tc>
        <w:tc>
          <w:p>
            <w:pPr>
              <w:pStyle w:val="Compact"/>
              <w:jc w:val="left"/>
            </w:pPr>
            <w:r>
              <w:t xml:space="preserve">7.500</w:t>
            </w:r>
          </w:p>
        </w:tc>
        <w:tc>
          <w:p>
            <w:pPr>
              <w:pStyle w:val="Compact"/>
              <w:jc w:val="left"/>
            </w:pPr>
            <w:r>
              <w:t xml:space="preserve">7.275</w:t>
            </w:r>
          </w:p>
        </w:tc>
        <w:tc>
          <w:p>
            <w:pPr>
              <w:pStyle w:val="Compact"/>
              <w:jc w:val="left"/>
            </w:pPr>
            <w:r>
              <w:t xml:space="preserve">29.275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Ambiente</w:t>
            </w:r>
          </w:p>
        </w:tc>
        <w:tc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p>
            <w:pPr>
              <w:pStyle w:val="Compact"/>
              <w:jc w:val="left"/>
            </w:pPr>
            <w:r>
              <w:t xml:space="preserve">3.200</w:t>
            </w:r>
          </w:p>
        </w:tc>
        <w:tc>
          <w:p>
            <w:pPr>
              <w:pStyle w:val="Compact"/>
              <w:jc w:val="left"/>
            </w:pPr>
            <w:r>
              <w:t xml:space="preserve">3.200</w:t>
            </w:r>
          </w:p>
        </w:tc>
        <w:tc>
          <w:p>
            <w:pPr>
              <w:pStyle w:val="Compact"/>
              <w:jc w:val="left"/>
            </w:pPr>
            <w:r>
              <w:t xml:space="preserve">13.400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650</w:t>
            </w:r>
          </w:p>
        </w:tc>
        <w:tc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p>
            <w:pPr>
              <w:pStyle w:val="Compact"/>
              <w:jc w:val="left"/>
            </w:pPr>
            <w:r>
              <w:t xml:space="preserve">850</w:t>
            </w:r>
          </w:p>
        </w:tc>
        <w:tc>
          <w:p>
            <w:pPr>
              <w:pStyle w:val="Compact"/>
              <w:jc w:val="left"/>
            </w:pPr>
            <w:r>
              <w:t xml:space="preserve">825</w:t>
            </w:r>
          </w:p>
        </w:tc>
        <w:tc>
          <w:p>
            <w:pPr>
              <w:pStyle w:val="Compact"/>
              <w:jc w:val="left"/>
            </w:pPr>
            <w:r>
              <w:t xml:space="preserve">3.525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Gobierno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p>
            <w:pPr>
              <w:pStyle w:val="Compact"/>
              <w:jc w:val="left"/>
            </w:pPr>
            <w:r>
              <w:t xml:space="preserve">850</w:t>
            </w:r>
          </w:p>
        </w:tc>
        <w:tc>
          <w:p>
            <w:pPr>
              <w:pStyle w:val="Compact"/>
              <w:jc w:val="left"/>
            </w:pPr>
            <w:r>
              <w:t xml:space="preserve">4.050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Argentina en el Mundo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p>
            <w:pPr>
              <w:pStyle w:val="Compact"/>
              <w:jc w:val="left"/>
            </w:pPr>
            <w:r>
              <w:t xml:space="preserve">550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2.500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Comunidad/Cultura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550</w:t>
            </w:r>
          </w:p>
        </w:tc>
        <w:tc>
          <w:p>
            <w:pPr>
              <w:pStyle w:val="Compact"/>
              <w:jc w:val="left"/>
            </w:pPr>
            <w:r>
              <w:t xml:space="preserve">650</w:t>
            </w:r>
          </w:p>
        </w:tc>
        <w:tc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p>
            <w:pPr>
              <w:pStyle w:val="Compact"/>
              <w:jc w:val="left"/>
            </w:pPr>
            <w:r>
              <w:t xml:space="preserve">3.000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9.500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14.850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18.400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20.050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19.322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82.122</w:t>
            </w:r>
          </w:p>
        </w:tc>
      </w:tr>
    </w:tbl>
    <w:p>
      <w:pPr>
        <w:pStyle w:val="Heading3"/>
      </w:pPr>
      <w:bookmarkStart w:id="31" w:name="balance-anual-financiamiento---gasto"/>
      <w:r>
        <w:t xml:space="preserve">3.2 Balance anual (Financiamiento - Gasto)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Financiamiento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Gasto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Acumulado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p>
            <w:pPr>
              <w:pStyle w:val="Compact"/>
              <w:jc w:val="left"/>
            </w:pPr>
            <w:r>
              <w:t xml:space="preserve">10.800</w:t>
            </w:r>
          </w:p>
        </w:tc>
        <w:tc>
          <w:p>
            <w:pPr>
              <w:pStyle w:val="Compact"/>
              <w:jc w:val="left"/>
            </w:pPr>
            <w:r>
              <w:t xml:space="preserve">9.500</w:t>
            </w:r>
          </w:p>
        </w:tc>
        <w:tc>
          <w:p>
            <w:pPr>
              <w:pStyle w:val="Compact"/>
              <w:jc w:val="left"/>
            </w:pPr>
            <w:r>
              <w:t xml:space="preserve">+1.300</w:t>
            </w:r>
          </w:p>
        </w:tc>
        <w:tc>
          <w:p>
            <w:pPr>
              <w:pStyle w:val="Compact"/>
              <w:jc w:val="left"/>
            </w:pPr>
            <w:r>
              <w:t xml:space="preserve">+1.300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p>
            <w:pPr>
              <w:pStyle w:val="Compact"/>
              <w:jc w:val="left"/>
            </w:pPr>
            <w:r>
              <w:t xml:space="preserve">14.000</w:t>
            </w:r>
          </w:p>
        </w:tc>
        <w:tc>
          <w:p>
            <w:pPr>
              <w:pStyle w:val="Compact"/>
              <w:jc w:val="left"/>
            </w:pPr>
            <w:r>
              <w:t xml:space="preserve">14.850</w:t>
            </w:r>
          </w:p>
        </w:tc>
        <w:tc>
          <w:p>
            <w:pPr>
              <w:pStyle w:val="Compact"/>
              <w:jc w:val="left"/>
            </w:pPr>
            <w:r>
              <w:t xml:space="preserve">-850</w:t>
            </w:r>
          </w:p>
        </w:tc>
        <w:tc>
          <w:p>
            <w:pPr>
              <w:pStyle w:val="Compact"/>
              <w:jc w:val="left"/>
            </w:pPr>
            <w:r>
              <w:t xml:space="preserve">+450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p>
            <w:pPr>
              <w:pStyle w:val="Compact"/>
              <w:jc w:val="left"/>
            </w:pPr>
            <w:r>
              <w:t xml:space="preserve">17.300</w:t>
            </w:r>
          </w:p>
        </w:tc>
        <w:tc>
          <w:p>
            <w:pPr>
              <w:pStyle w:val="Compact"/>
              <w:jc w:val="left"/>
            </w:pPr>
            <w:r>
              <w:t xml:space="preserve">18.400</w:t>
            </w:r>
          </w:p>
        </w:tc>
        <w:tc>
          <w:p>
            <w:pPr>
              <w:pStyle w:val="Compact"/>
              <w:jc w:val="left"/>
            </w:pPr>
            <w:r>
              <w:t xml:space="preserve">-1.100</w:t>
            </w:r>
          </w:p>
        </w:tc>
        <w:tc>
          <w:p>
            <w:pPr>
              <w:pStyle w:val="Compact"/>
              <w:jc w:val="left"/>
            </w:pPr>
            <w:r>
              <w:t xml:space="preserve">-650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p>
            <w:pPr>
              <w:pStyle w:val="Compact"/>
              <w:jc w:val="left"/>
            </w:pPr>
            <w:r>
              <w:t xml:space="preserve">19.600</w:t>
            </w:r>
          </w:p>
        </w:tc>
        <w:tc>
          <w:p>
            <w:pPr>
              <w:pStyle w:val="Compact"/>
              <w:jc w:val="left"/>
            </w:pPr>
            <w:r>
              <w:t xml:space="preserve">20.050</w:t>
            </w:r>
          </w:p>
        </w:tc>
        <w:tc>
          <w:p>
            <w:pPr>
              <w:pStyle w:val="Compact"/>
              <w:jc w:val="left"/>
            </w:pPr>
            <w:r>
              <w:t xml:space="preserve">-450</w:t>
            </w:r>
          </w:p>
        </w:tc>
        <w:tc>
          <w:p>
            <w:pPr>
              <w:pStyle w:val="Compact"/>
              <w:jc w:val="left"/>
            </w:pPr>
            <w:r>
              <w:t xml:space="preserve">-1.100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2031</w:t>
            </w:r>
          </w:p>
        </w:tc>
        <w:tc>
          <w:p>
            <w:pPr>
              <w:pStyle w:val="Compact"/>
              <w:jc w:val="left"/>
            </w:pPr>
            <w:r>
              <w:t xml:space="preserve">22.000</w:t>
            </w:r>
          </w:p>
        </w:tc>
        <w:tc>
          <w:p>
            <w:pPr>
              <w:pStyle w:val="Compact"/>
              <w:jc w:val="left"/>
            </w:pPr>
            <w:r>
              <w:t xml:space="preserve">19.322</w:t>
            </w:r>
          </w:p>
        </w:tc>
        <w:tc>
          <w:p>
            <w:pPr>
              <w:pStyle w:val="Compact"/>
              <w:jc w:val="left"/>
            </w:pPr>
            <w:r>
              <w:t xml:space="preserve">+2.678</w:t>
            </w:r>
          </w:p>
        </w:tc>
        <w:tc>
          <w:p>
            <w:pPr>
              <w:pStyle w:val="Compact"/>
              <w:jc w:val="left"/>
            </w:pPr>
            <w:r>
              <w:t xml:space="preserve">+1.578</w:t>
            </w:r>
          </w:p>
        </w:tc>
      </w:tr>
    </w:tbl>
    <w:p>
      <w:pPr>
        <w:pStyle w:val="BodyText"/>
      </w:pPr>
      <w:r>
        <w:t xml:space="preserve">El balance es positivo en el año 1 (fase de diseño/piloto) y en el año 5 (madurez de recaudación). Los años 2-4 tienen déficit moderado (~0,1-0,2% del PBI) que se cubre con el colchón del año 1 y con financiamiento multilateral ya comprometido.</w:t>
      </w:r>
      <w:r>
        <w:t xml:space="preserve"> </w:t>
      </w:r>
      <w:r>
        <w:rPr>
          <w:b/>
        </w:rPr>
        <w:t xml:space="preserve">El acumulado de 5 años es positivo: +USD 1.578M.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impacto-en-el-pbi"/>
      <w:r>
        <w:t xml:space="preserve">4. Impacto en el PBI</w:t>
      </w:r>
      <w:bookmarkEnd w:id="32"/>
    </w:p>
    <w:p>
      <w:pPr>
        <w:pStyle w:val="Heading3"/>
      </w:pPr>
      <w:bookmarkStart w:id="33" w:name="canales-de-transmisión"/>
      <w:r>
        <w:t xml:space="preserve">4.1 Canales de transmisión</w:t>
      </w:r>
      <w:bookmarkEnd w:id="33"/>
    </w:p>
    <w:p>
      <w:pPr>
        <w:pStyle w:val="FirstParagraph"/>
      </w:pPr>
      <w:r>
        <w:t xml:space="preserve">La inversión pública de Argentina Próspera genera crecimiento por cuatro canales:</w:t>
      </w:r>
    </w:p>
    <w:p>
      <w:pPr>
        <w:pStyle w:val="BodyText"/>
      </w:pPr>
      <w:r>
        <w:rPr>
          <w:b/>
        </w:rPr>
        <w:t xml:space="preserve">Canal 1: Multiplicador fiscal directo.</w:t>
      </w:r>
      <w:r>
        <w:t xml:space="preserve"> </w:t>
      </w:r>
      <w:r>
        <w:t xml:space="preserve">La inversión en infraestructura (vivienda, energías renovables, escuelas, hospitales, conectividad) genera demanda de insumos, empleo en la construcción, y actividad en cadenas productivas locales.</w:t>
      </w:r>
      <w:r>
        <w:t xml:space="preserve"> </w:t>
      </w:r>
      <w:r>
        <w:t xml:space="preserve">- Multiplicador estimado: 1,5-2,0 (evidencia empírica para economías con capacidad ociosa)</w:t>
      </w:r>
    </w:p>
    <w:p>
      <w:pPr>
        <w:pStyle w:val="BodyText"/>
      </w:pPr>
      <w:r>
        <w:rPr>
          <w:b/>
        </w:rPr>
        <w:t xml:space="preserve">Canal 2: Consumo de nuevos trabajadores.</w:t>
      </w:r>
      <w:r>
        <w:t xml:space="preserve"> </w:t>
      </w:r>
      <w:r>
        <w:t xml:space="preserve">Los 500.000 empleos de la Garantía + la formalización de informales generan masa salarial que se vuelca al consumo local.</w:t>
      </w:r>
      <w:r>
        <w:t xml:space="preserve"> </w:t>
      </w:r>
      <w:r>
        <w:t xml:space="preserve">- Propensión marginal al consumo de trabajadores de bajos ingresos: 0,85-0,95</w:t>
      </w:r>
    </w:p>
    <w:p>
      <w:pPr>
        <w:pStyle w:val="BodyText"/>
      </w:pPr>
      <w:r>
        <w:rPr>
          <w:b/>
        </w:rPr>
        <w:t xml:space="preserve">Canal 3: Productividad futura.</w:t>
      </w:r>
      <w:r>
        <w:t xml:space="preserve"> </w:t>
      </w:r>
      <w:r>
        <w:t xml:space="preserve">Inversión en educación temprana, formación tecnológica, salud preventiva y conectividad incrementa la productividad laboral a mediano plazo.</w:t>
      </w:r>
      <w:r>
        <w:t xml:space="preserve"> </w:t>
      </w:r>
      <w:r>
        <w:t xml:space="preserve">- Impacto estimado: +0,5-1,0% anual en productividad laboral (efecto retardado 3-5 años)</w:t>
      </w:r>
    </w:p>
    <w:p>
      <w:pPr>
        <w:pStyle w:val="BodyText"/>
      </w:pPr>
      <w:r>
        <w:rPr>
          <w:b/>
        </w:rPr>
        <w:t xml:space="preserve">Canal 4: Atracción de inversión privada.</w:t>
      </w:r>
      <w:r>
        <w:t xml:space="preserve"> </w:t>
      </w:r>
      <w:r>
        <w:t xml:space="preserve">Infraestructura nueva (renovables, digitalización, conectividad) + estabilidad macro + régimen tech competitivo atraen inversión extranjera directa.</w:t>
      </w:r>
      <w:r>
        <w:t xml:space="preserve"> </w:t>
      </w:r>
      <w:r>
        <w:t xml:space="preserve">- IED estimada adicional: USD 3.000-5.000M/año a partir del año 3</w:t>
      </w:r>
    </w:p>
    <w:p>
      <w:pPr>
        <w:pStyle w:val="Heading3"/>
      </w:pPr>
      <w:bookmarkStart w:id="34" w:name="proyección-del-pbi-usd-m-nominal"/>
      <w:r>
        <w:t xml:space="preserve">4.2 Proyección del PBI (USD M, nominal)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PBI sin plan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PBI con plan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Diferencia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Crecimiento adicional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t xml:space="preserve">650.000</w:t>
            </w:r>
          </w:p>
        </w:tc>
        <w:tc>
          <w:p>
            <w:pPr>
              <w:pStyle w:val="Compact"/>
              <w:jc w:val="left"/>
            </w:pPr>
            <w:r>
              <w:t xml:space="preserve">650.000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Línea 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p>
            <w:pPr>
              <w:pStyle w:val="Compact"/>
              <w:jc w:val="left"/>
            </w:pPr>
            <w:r>
              <w:t xml:space="preserve">663.000</w:t>
            </w:r>
          </w:p>
        </w:tc>
        <w:tc>
          <w:p>
            <w:pPr>
              <w:pStyle w:val="Compact"/>
              <w:jc w:val="left"/>
            </w:pPr>
            <w:r>
              <w:t xml:space="preserve">676.000</w:t>
            </w:r>
          </w:p>
        </w:tc>
        <w:tc>
          <w:p>
            <w:pPr>
              <w:pStyle w:val="Compact"/>
              <w:jc w:val="left"/>
            </w:pPr>
            <w:r>
              <w:t xml:space="preserve">+13.000</w:t>
            </w:r>
          </w:p>
        </w:tc>
        <w:tc>
          <w:p>
            <w:pPr>
              <w:pStyle w:val="Compact"/>
              <w:jc w:val="left"/>
            </w:pPr>
            <w:r>
              <w:t xml:space="preserve">+2,0% adicional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p>
            <w:pPr>
              <w:pStyle w:val="Compact"/>
              <w:jc w:val="left"/>
            </w:pPr>
            <w:r>
              <w:t xml:space="preserve">676.000</w:t>
            </w:r>
          </w:p>
        </w:tc>
        <w:tc>
          <w:p>
            <w:pPr>
              <w:pStyle w:val="Compact"/>
              <w:jc w:val="left"/>
            </w:pPr>
            <w:r>
              <w:t xml:space="preserve">707.000</w:t>
            </w:r>
          </w:p>
        </w:tc>
        <w:tc>
          <w:p>
            <w:pPr>
              <w:pStyle w:val="Compact"/>
              <w:jc w:val="left"/>
            </w:pPr>
            <w:r>
              <w:t xml:space="preserve">+31.000</w:t>
            </w:r>
          </w:p>
        </w:tc>
        <w:tc>
          <w:p>
            <w:pPr>
              <w:pStyle w:val="Compact"/>
              <w:jc w:val="left"/>
            </w:pPr>
            <w:r>
              <w:t xml:space="preserve">+2,5% adicional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p>
            <w:pPr>
              <w:pStyle w:val="Compact"/>
              <w:jc w:val="left"/>
            </w:pPr>
            <w:r>
              <w:t xml:space="preserve">690.000</w:t>
            </w:r>
          </w:p>
        </w:tc>
        <w:tc>
          <w:p>
            <w:pPr>
              <w:pStyle w:val="Compact"/>
              <w:jc w:val="left"/>
            </w:pPr>
            <w:r>
              <w:t xml:space="preserve">742.000</w:t>
            </w:r>
          </w:p>
        </w:tc>
        <w:tc>
          <w:p>
            <w:pPr>
              <w:pStyle w:val="Compact"/>
              <w:jc w:val="left"/>
            </w:pPr>
            <w:r>
              <w:t xml:space="preserve">+52.000</w:t>
            </w:r>
          </w:p>
        </w:tc>
        <w:tc>
          <w:p>
            <w:pPr>
              <w:pStyle w:val="Compact"/>
              <w:jc w:val="left"/>
            </w:pPr>
            <w:r>
              <w:t xml:space="preserve">+2,7% adicional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p>
            <w:pPr>
              <w:pStyle w:val="Compact"/>
              <w:jc w:val="left"/>
            </w:pPr>
            <w:r>
              <w:t xml:space="preserve">704.000</w:t>
            </w:r>
          </w:p>
        </w:tc>
        <w:tc>
          <w:p>
            <w:pPr>
              <w:pStyle w:val="Compact"/>
              <w:jc w:val="left"/>
            </w:pPr>
            <w:r>
              <w:t xml:space="preserve">779.000</w:t>
            </w:r>
          </w:p>
        </w:tc>
        <w:tc>
          <w:p>
            <w:pPr>
              <w:pStyle w:val="Compact"/>
              <w:jc w:val="left"/>
            </w:pPr>
            <w:r>
              <w:t xml:space="preserve">+75.000</w:t>
            </w:r>
          </w:p>
        </w:tc>
        <w:tc>
          <w:p>
            <w:pPr>
              <w:pStyle w:val="Compact"/>
              <w:jc w:val="left"/>
            </w:pPr>
            <w:r>
              <w:t xml:space="preserve">+2,8% adicional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2031</w:t>
            </w:r>
          </w:p>
        </w:tc>
        <w:tc>
          <w:p>
            <w:pPr>
              <w:pStyle w:val="Compact"/>
              <w:jc w:val="left"/>
            </w:pPr>
            <w:r>
              <w:t xml:space="preserve">718.000</w:t>
            </w:r>
          </w:p>
        </w:tc>
        <w:tc>
          <w:p>
            <w:pPr>
              <w:pStyle w:val="Compact"/>
              <w:jc w:val="left"/>
            </w:pPr>
            <w:r>
              <w:t xml:space="preserve">818.000</w:t>
            </w:r>
          </w:p>
        </w:tc>
        <w:tc>
          <w:p>
            <w:pPr>
              <w:pStyle w:val="Compact"/>
              <w:jc w:val="left"/>
            </w:pPr>
            <w:r>
              <w:t xml:space="preserve">+100.000</w:t>
            </w:r>
          </w:p>
        </w:tc>
        <w:tc>
          <w:p>
            <w:pPr>
              <w:pStyle w:val="Compact"/>
              <w:jc w:val="left"/>
            </w:pPr>
            <w:r>
              <w:t xml:space="preserve">+2,7% adicional</w:t>
            </w:r>
          </w:p>
        </w:tc>
      </w:tr>
    </w:tbl>
    <w:p>
      <w:pPr>
        <w:pStyle w:val="BodyText"/>
      </w:pPr>
      <w:r>
        <w:rPr>
          <w:b/>
        </w:rPr>
        <w:t xml:space="preserve">El plan genera un PBI ~14% mayor al que habría sin él.</w:t>
      </w:r>
      <w:r>
        <w:t xml:space="preserve"> </w:t>
      </w:r>
      <w:r>
        <w:t xml:space="preserve">La diferencia acumulada de USD 271.000M en 5 años supera con creces la inversión de USD 82.122M — una relación de 3,3 a 1.</w:t>
      </w:r>
    </w:p>
    <w:p>
      <w:pPr>
        <w:pStyle w:val="BodyText"/>
      </w:pPr>
      <w:r>
        <w:t xml:space="preserve">Supuestos: crecimiento base sin plan de 2%/año (tendencia Argentina de largo plazo). Multiplicador fiscal promedio de 1,7. Efecto productividad a partir del año 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impacto-en-el-empleo"/>
      <w:r>
        <w:t xml:space="preserve">5. Impacto en el Empleo</w:t>
      </w:r>
      <w:bookmarkEnd w:id="35"/>
    </w:p>
    <w:p>
      <w:pPr>
        <w:pStyle w:val="Heading3"/>
      </w:pPr>
      <w:bookmarkStart w:id="36" w:name="creación-de-empleo-por-canal"/>
      <w:r>
        <w:t xml:space="preserve">5.1 Creación de empleo por canal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Empleos directos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Empleos indirectos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Garantía de Empleo Comunitario</w:t>
            </w:r>
          </w:p>
        </w:tc>
        <w:tc>
          <w:p>
            <w:pPr>
              <w:pStyle w:val="Compact"/>
              <w:jc w:val="left"/>
            </w:pPr>
            <w:r>
              <w:t xml:space="preserve">500.000</w:t>
            </w:r>
          </w:p>
        </w:tc>
        <w:tc>
          <w:p>
            <w:pPr>
              <w:pStyle w:val="Compact"/>
              <w:jc w:val="left"/>
            </w:pPr>
            <w:r>
              <w:t xml:space="preserve">250.000</w:t>
            </w:r>
          </w:p>
        </w:tc>
        <w:tc>
          <w:p>
            <w:pPr>
              <w:pStyle w:val="Compact"/>
              <w:jc w:val="left"/>
            </w:pPr>
            <w:r>
              <w:t xml:space="preserve">750.000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Construcción (vivienda, infraestructura)</w:t>
            </w:r>
          </w:p>
        </w:tc>
        <w:tc>
          <w:p>
            <w:pPr>
              <w:pStyle w:val="Compact"/>
              <w:jc w:val="left"/>
            </w:pPr>
            <w:r>
              <w:t xml:space="preserve">300.000</w:t>
            </w:r>
          </w:p>
        </w:tc>
        <w:tc>
          <w:p>
            <w:pPr>
              <w:pStyle w:val="Compact"/>
              <w:jc w:val="left"/>
            </w:pPr>
            <w:r>
              <w:t xml:space="preserve">200.000</w:t>
            </w:r>
          </w:p>
        </w:tc>
        <w:tc>
          <w:p>
            <w:pPr>
              <w:pStyle w:val="Compact"/>
              <w:jc w:val="left"/>
            </w:pPr>
            <w:r>
              <w:t xml:space="preserve">500.000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Economía circular y empleos verdes</w:t>
            </w:r>
          </w:p>
        </w:tc>
        <w:tc>
          <w:p>
            <w:pPr>
              <w:pStyle w:val="Compact"/>
              <w:jc w:val="left"/>
            </w:pPr>
            <w:r>
              <w:t xml:space="preserve">250.000</w:t>
            </w:r>
          </w:p>
        </w:tc>
        <w:tc>
          <w:p>
            <w:pPr>
              <w:pStyle w:val="Compact"/>
              <w:jc w:val="left"/>
            </w:pPr>
            <w:r>
              <w:t xml:space="preserve">100.000</w:t>
            </w:r>
          </w:p>
        </w:tc>
        <w:tc>
          <w:p>
            <w:pPr>
              <w:pStyle w:val="Compact"/>
              <w:jc w:val="left"/>
            </w:pPr>
            <w:r>
              <w:t xml:space="preserve">350.000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Energías renovables</w:t>
            </w:r>
          </w:p>
        </w:tc>
        <w:tc>
          <w:p>
            <w:pPr>
              <w:pStyle w:val="Compact"/>
              <w:jc w:val="left"/>
            </w:pPr>
            <w:r>
              <w:t xml:space="preserve">50.000</w:t>
            </w:r>
          </w:p>
        </w:tc>
        <w:tc>
          <w:p>
            <w:pPr>
              <w:pStyle w:val="Compact"/>
              <w:jc w:val="left"/>
            </w:pPr>
            <w:r>
              <w:t xml:space="preserve">30.000</w:t>
            </w:r>
          </w:p>
        </w:tc>
        <w:tc>
          <w:p>
            <w:pPr>
              <w:pStyle w:val="Compact"/>
              <w:jc w:val="left"/>
            </w:pPr>
            <w:r>
              <w:t xml:space="preserve">80.000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Salud (equipos territoriales + CAITMA)</w:t>
            </w:r>
          </w:p>
        </w:tc>
        <w:tc>
          <w:p>
            <w:pPr>
              <w:pStyle w:val="Compact"/>
              <w:jc w:val="left"/>
            </w:pPr>
            <w:r>
              <w:t xml:space="preserve">35.000</w:t>
            </w:r>
          </w:p>
        </w:tc>
        <w:tc>
          <w:p>
            <w:pPr>
              <w:pStyle w:val="Compact"/>
              <w:jc w:val="left"/>
            </w:pPr>
            <w:r>
              <w:t xml:space="preserve">15.000</w:t>
            </w:r>
          </w:p>
        </w:tc>
        <w:tc>
          <w:p>
            <w:pPr>
              <w:pStyle w:val="Compact"/>
              <w:jc w:val="left"/>
            </w:pPr>
            <w:r>
              <w:t xml:space="preserve">50.000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Educación (primera infancia + formación)</w:t>
            </w:r>
          </w:p>
        </w:tc>
        <w:tc>
          <w:p>
            <w:pPr>
              <w:pStyle w:val="Compact"/>
              <w:jc w:val="left"/>
            </w:pPr>
            <w:r>
              <w:t xml:space="preserve">50.000</w:t>
            </w:r>
          </w:p>
        </w:tc>
        <w:tc>
          <w:p>
            <w:pPr>
              <w:pStyle w:val="Compact"/>
              <w:jc w:val="left"/>
            </w:pPr>
            <w:r>
              <w:t xml:space="preserve">20.000</w:t>
            </w:r>
          </w:p>
        </w:tc>
        <w:tc>
          <w:p>
            <w:pPr>
              <w:pStyle w:val="Compact"/>
              <w:jc w:val="left"/>
            </w:pPr>
            <w:r>
              <w:t xml:space="preserve">70.000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Gobierno digital + justicia</w:t>
            </w:r>
          </w:p>
        </w:tc>
        <w:tc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p>
            <w:pPr>
              <w:pStyle w:val="Compact"/>
              <w:jc w:val="left"/>
            </w:pPr>
            <w:r>
              <w:t xml:space="preserve">15.000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Turismo regenerativo</w:t>
            </w:r>
          </w:p>
        </w:tc>
        <w:tc>
          <w:p>
            <w:pPr>
              <w:pStyle w:val="Compact"/>
              <w:jc w:val="left"/>
            </w:pPr>
            <w:r>
              <w:t xml:space="preserve">30.000</w:t>
            </w:r>
          </w:p>
        </w:tc>
        <w:tc>
          <w:p>
            <w:pPr>
              <w:pStyle w:val="Compact"/>
              <w:jc w:val="left"/>
            </w:pPr>
            <w:r>
              <w:t xml:space="preserve">50.000</w:t>
            </w:r>
          </w:p>
        </w:tc>
        <w:tc>
          <w:p>
            <w:pPr>
              <w:pStyle w:val="Compact"/>
              <w:jc w:val="left"/>
            </w:pPr>
            <w:r>
              <w:t xml:space="preserve">80.000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Hub tecnológico (efecto arrastre)</w:t>
            </w:r>
          </w:p>
        </w:tc>
        <w:tc>
          <w:p>
            <w:pPr>
              <w:pStyle w:val="Compact"/>
              <w:jc w:val="left"/>
            </w:pPr>
            <w:r>
              <w:t xml:space="preserve">50.000</w:t>
            </w:r>
          </w:p>
        </w:tc>
        <w:tc>
          <w:p>
            <w:pPr>
              <w:pStyle w:val="Compact"/>
              <w:jc w:val="left"/>
            </w:pPr>
            <w:r>
              <w:t xml:space="preserve">80.000</w:t>
            </w:r>
          </w:p>
        </w:tc>
        <w:tc>
          <w:p>
            <w:pPr>
              <w:pStyle w:val="Compact"/>
              <w:jc w:val="left"/>
            </w:pPr>
            <w:r>
              <w:t xml:space="preserve">130.000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Cultura, comunidad, deporte</w:t>
            </w:r>
          </w:p>
        </w:tc>
        <w:tc>
          <w:p>
            <w:pPr>
              <w:pStyle w:val="Compact"/>
              <w:jc w:val="left"/>
            </w:pPr>
            <w:r>
              <w:t xml:space="preserve">20.000</w:t>
            </w:r>
          </w:p>
        </w:tc>
        <w:tc>
          <w:p>
            <w:pPr>
              <w:pStyle w:val="Compact"/>
              <w:jc w:val="left"/>
            </w:pPr>
            <w:r>
              <w:t xml:space="preserve">15.000</w:t>
            </w:r>
          </w:p>
        </w:tc>
        <w:tc>
          <w:p>
            <w:pPr>
              <w:pStyle w:val="Compact"/>
              <w:jc w:val="left"/>
            </w:pPr>
            <w:r>
              <w:t xml:space="preserve">35.000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1.295.000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765.000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2.060.000</w:t>
            </w:r>
          </w:p>
        </w:tc>
      </w:tr>
    </w:tbl>
    <w:p>
      <w:pPr>
        <w:pStyle w:val="Heading3"/>
      </w:pPr>
      <w:bookmarkStart w:id="37" w:name="evolución-del-mercado-laboral"/>
      <w:r>
        <w:t xml:space="preserve">5.2 Evolución del mercado laboral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PEA (millones)</w:t>
            </w:r>
          </w:p>
        </w:tc>
        <w:tc>
          <w:p>
            <w:pPr>
              <w:pStyle w:val="Compact"/>
              <w:jc w:val="left"/>
            </w:pPr>
            <w:r>
              <w:t xml:space="preserve">22,5</w:t>
            </w:r>
          </w:p>
        </w:tc>
        <w:tc>
          <w:p>
            <w:pPr>
              <w:pStyle w:val="Compact"/>
              <w:jc w:val="left"/>
            </w:pPr>
            <w:r>
              <w:t xml:space="preserve">23,0</w:t>
            </w:r>
          </w:p>
        </w:tc>
        <w:tc>
          <w:p>
            <w:pPr>
              <w:pStyle w:val="Compact"/>
              <w:jc w:val="left"/>
            </w:pPr>
            <w:r>
              <w:t xml:space="preserve">23,8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Ocupados (millones)</w:t>
            </w:r>
          </w:p>
        </w:tc>
        <w:tc>
          <w:p>
            <w:pPr>
              <w:pStyle w:val="Compact"/>
              <w:jc w:val="left"/>
            </w:pPr>
            <w:r>
              <w:t xml:space="preserve">21,0</w:t>
            </w:r>
          </w:p>
        </w:tc>
        <w:tc>
          <w:p>
            <w:pPr>
              <w:pStyle w:val="Compact"/>
              <w:jc w:val="left"/>
            </w:pPr>
            <w:r>
              <w:t xml:space="preserve">22,2</w:t>
            </w:r>
          </w:p>
        </w:tc>
        <w:tc>
          <w:p>
            <w:pPr>
              <w:pStyle w:val="Compact"/>
              <w:jc w:val="left"/>
            </w:pPr>
            <w:r>
              <w:t xml:space="preserve">23,5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Desocupados (millones)</w:t>
            </w:r>
          </w:p>
        </w:tc>
        <w:tc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p>
            <w:pPr>
              <w:pStyle w:val="Compact"/>
              <w:jc w:val="left"/>
            </w:pPr>
            <w:r>
              <w:t xml:space="preserve">0,3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Tasa de desempleo</w:t>
            </w:r>
          </w:p>
        </w:tc>
        <w:tc>
          <w:p>
            <w:pPr>
              <w:pStyle w:val="Compact"/>
              <w:jc w:val="left"/>
            </w:pPr>
            <w:r>
              <w:t xml:space="preserve">6,6%</w:t>
            </w:r>
          </w:p>
        </w:tc>
        <w:tc>
          <w:p>
            <w:pPr>
              <w:pStyle w:val="Compact"/>
              <w:jc w:val="left"/>
            </w:pPr>
            <w:r>
              <w:t xml:space="preserve">3,5%</w:t>
            </w:r>
          </w:p>
        </w:tc>
        <w:tc>
          <w:p>
            <w:pPr>
              <w:pStyle w:val="Compact"/>
              <w:jc w:val="left"/>
            </w:pPr>
            <w:r>
              <w:t xml:space="preserve">~1,5%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Informales (millones)</w:t>
            </w:r>
          </w:p>
        </w:tc>
        <w:tc>
          <w:p>
            <w:pPr>
              <w:pStyle w:val="Compact"/>
              <w:jc w:val="left"/>
            </w:pPr>
            <w:r>
              <w:t xml:space="preserve">9,1</w:t>
            </w:r>
          </w:p>
        </w:tc>
        <w:tc>
          <w:p>
            <w:pPr>
              <w:pStyle w:val="Compact"/>
              <w:jc w:val="left"/>
            </w:pPr>
            <w:r>
              <w:t xml:space="preserve">7,5</w:t>
            </w:r>
          </w:p>
        </w:tc>
        <w:tc>
          <w:p>
            <w:pPr>
              <w:pStyle w:val="Compact"/>
              <w:jc w:val="left"/>
            </w:pPr>
            <w:r>
              <w:t xml:space="preserve">5,5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Tasa de informalidad</w:t>
            </w:r>
          </w:p>
        </w:tc>
        <w:tc>
          <w:p>
            <w:pPr>
              <w:pStyle w:val="Compact"/>
              <w:jc w:val="left"/>
            </w:pPr>
            <w:r>
              <w:t xml:space="preserve">43,3%</w:t>
            </w:r>
          </w:p>
        </w:tc>
        <w:tc>
          <w:p>
            <w:pPr>
              <w:pStyle w:val="Compact"/>
              <w:jc w:val="left"/>
            </w:pPr>
            <w:r>
              <w:t xml:space="preserve">33,8%</w:t>
            </w:r>
          </w:p>
        </w:tc>
        <w:tc>
          <w:p>
            <w:pPr>
              <w:pStyle w:val="Compact"/>
              <w:jc w:val="left"/>
            </w:pPr>
            <w:r>
              <w:t xml:space="preserve">~23,4%</w:t>
            </w:r>
          </w:p>
        </w:tc>
      </w:tr>
    </w:tbl>
    <w:p>
      <w:pPr>
        <w:pStyle w:val="BodyText"/>
      </w:pPr>
      <w:r>
        <w:t xml:space="preserve">La Garantía de Empleo actúa como estabilizador automático: absorbe cuando el sector privado no crece. La meta de desempleo de 1,5% es ambiciosa pero no sin precedente (Islandia: 3%, Japón: 2,5%, Suiza: 2% — y Argentina con Garantía de Empleo puede ir más abajo porque cubre la brecha estructural).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3403a9f8add6016c928a30df2f91df1e1275692"/>
      <w:r>
        <w:t xml:space="preserve">6. Impacto en Pobreza y Distribución del Ingreso</w:t>
      </w:r>
      <w:bookmarkEnd w:id="38"/>
    </w:p>
    <w:p>
      <w:pPr>
        <w:pStyle w:val="Heading3"/>
      </w:pPr>
      <w:bookmarkStart w:id="39" w:name="canales-de-reducción-de-pobreza"/>
      <w:r>
        <w:t xml:space="preserve">6.1 Canales de reducción de pobreza</w:t>
      </w:r>
      <w:bookmarkEnd w:id="39"/>
    </w:p>
    <w:p>
      <w:pPr>
        <w:pStyle w:val="FirstParagraph"/>
      </w:pPr>
      <w:r>
        <w:t xml:space="preserve">La pobreza se reduce por cinco canales simultáneos: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Empleo directo</w:t>
      </w:r>
      <w:r>
        <w:t xml:space="preserve">: 500.000 empleos garantizados con salario digno sacan ~2 millones de personas de la pobreza (trabajador + familia)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Formalización</w:t>
      </w:r>
      <w:r>
        <w:t xml:space="preserve">: cada trabajador que pasa de informal a formal gana 30-50% más + obra social + jubilación futura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Inversión en primera infancia</w:t>
      </w:r>
      <w:r>
        <w:t xml:space="preserve">: transferencia implícita a familias (desayuno + almuerzo + merienda + educación gratuita para niños)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Salud territorial</w:t>
      </w:r>
      <w:r>
        <w:t xml:space="preserve">: ahorro de bolsillo de familias que hoy pagan por salud o pierden ingresos por enfermedad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Vivienda</w:t>
      </w:r>
      <w:r>
        <w:t xml:space="preserve">: ahorro en alquiler + seguridad de tenencia + servicios básicos</w:t>
      </w:r>
    </w:p>
    <w:p>
      <w:pPr>
        <w:pStyle w:val="Heading3"/>
      </w:pPr>
      <w:bookmarkStart w:id="40" w:name="proyección-de-pobreza-e-indigencia"/>
      <w:r>
        <w:t xml:space="preserve">6.2 Proyección de pobreza e indigencia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Pobreza (%)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Indigencia (%)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t xml:space="preserve">31,6%</w:t>
            </w:r>
          </w:p>
        </w:tc>
        <w:tc>
          <w:p>
            <w:pPr>
              <w:pStyle w:val="Compact"/>
              <w:jc w:val="left"/>
            </w:pPr>
            <w:r>
              <w:t xml:space="preserve">14,9M</w:t>
            </w:r>
          </w:p>
        </w:tc>
        <w:tc>
          <w:p>
            <w:pPr>
              <w:pStyle w:val="Compact"/>
              <w:jc w:val="left"/>
            </w:pPr>
            <w:r>
              <w:t xml:space="preserve">6,9%</w:t>
            </w:r>
          </w:p>
        </w:tc>
        <w:tc>
          <w:p>
            <w:pPr>
              <w:pStyle w:val="Compact"/>
              <w:jc w:val="left"/>
            </w:pPr>
            <w:r>
              <w:t xml:space="preserve">3,2M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p>
            <w:pPr>
              <w:pStyle w:val="Compact"/>
              <w:jc w:val="left"/>
            </w:pPr>
            <w:r>
              <w:t xml:space="preserve">27,0%</w:t>
            </w:r>
          </w:p>
        </w:tc>
        <w:tc>
          <w:p>
            <w:pPr>
              <w:pStyle w:val="Compact"/>
              <w:jc w:val="left"/>
            </w:pPr>
            <w:r>
              <w:t xml:space="preserve">12,7M</w:t>
            </w:r>
          </w:p>
        </w:tc>
        <w:tc>
          <w:p>
            <w:pPr>
              <w:pStyle w:val="Compact"/>
              <w:jc w:val="left"/>
            </w:pPr>
            <w:r>
              <w:t xml:space="preserve">5,5%</w:t>
            </w:r>
          </w:p>
        </w:tc>
        <w:tc>
          <w:p>
            <w:pPr>
              <w:pStyle w:val="Compact"/>
              <w:jc w:val="left"/>
            </w:pPr>
            <w:r>
              <w:t xml:space="preserve">2,6M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p>
            <w:pPr>
              <w:pStyle w:val="Compact"/>
              <w:jc w:val="left"/>
            </w:pPr>
            <w:r>
              <w:t xml:space="preserve">23,0%</w:t>
            </w:r>
          </w:p>
        </w:tc>
        <w:tc>
          <w:p>
            <w:pPr>
              <w:pStyle w:val="Compact"/>
              <w:jc w:val="left"/>
            </w:pPr>
            <w:r>
              <w:t xml:space="preserve">10,8M</w:t>
            </w:r>
          </w:p>
        </w:tc>
        <w:tc>
          <w:p>
            <w:pPr>
              <w:pStyle w:val="Compact"/>
              <w:jc w:val="left"/>
            </w:pPr>
            <w:r>
              <w:t xml:space="preserve">4,2%</w:t>
            </w:r>
          </w:p>
        </w:tc>
        <w:tc>
          <w:p>
            <w:pPr>
              <w:pStyle w:val="Compact"/>
              <w:jc w:val="left"/>
            </w:pPr>
            <w:r>
              <w:t xml:space="preserve">2,0M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p>
            <w:pPr>
              <w:pStyle w:val="Compact"/>
              <w:jc w:val="left"/>
            </w:pPr>
            <w:r>
              <w:t xml:space="preserve">19,5%</w:t>
            </w:r>
          </w:p>
        </w:tc>
        <w:tc>
          <w:p>
            <w:pPr>
              <w:pStyle w:val="Compact"/>
              <w:jc w:val="left"/>
            </w:pPr>
            <w:r>
              <w:t xml:space="preserve">9,2M</w:t>
            </w:r>
          </w:p>
        </w:tc>
        <w:tc>
          <w:p>
            <w:pPr>
              <w:pStyle w:val="Compact"/>
              <w:jc w:val="left"/>
            </w:pPr>
            <w:r>
              <w:t xml:space="preserve">3,2%</w:t>
            </w:r>
          </w:p>
        </w:tc>
        <w:tc>
          <w:p>
            <w:pPr>
              <w:pStyle w:val="Compact"/>
              <w:jc w:val="left"/>
            </w:pPr>
            <w:r>
              <w:t xml:space="preserve">1,5M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p>
            <w:pPr>
              <w:pStyle w:val="Compact"/>
              <w:jc w:val="left"/>
            </w:pPr>
            <w:r>
              <w:t xml:space="preserve">17,0%</w:t>
            </w:r>
          </w:p>
        </w:tc>
        <w:tc>
          <w:p>
            <w:pPr>
              <w:pStyle w:val="Compact"/>
              <w:jc w:val="left"/>
            </w:pPr>
            <w:r>
              <w:t xml:space="preserve">8,0M</w:t>
            </w:r>
          </w:p>
        </w:tc>
        <w:tc>
          <w:p>
            <w:pPr>
              <w:pStyle w:val="Compact"/>
              <w:jc w:val="left"/>
            </w:pPr>
            <w:r>
              <w:t xml:space="preserve">2,5%</w:t>
            </w:r>
          </w:p>
        </w:tc>
        <w:tc>
          <w:p>
            <w:pPr>
              <w:pStyle w:val="Compact"/>
              <w:jc w:val="left"/>
            </w:pPr>
            <w:r>
              <w:t xml:space="preserve">1,2M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2031</w:t>
            </w:r>
          </w:p>
        </w:tc>
        <w:tc>
          <w:p>
            <w:pPr>
              <w:pStyle w:val="Compact"/>
              <w:jc w:val="left"/>
            </w:pPr>
            <w:r>
              <w:t xml:space="preserve">15,0%</w:t>
            </w:r>
          </w:p>
        </w:tc>
        <w:tc>
          <w:p>
            <w:pPr>
              <w:pStyle w:val="Compact"/>
              <w:jc w:val="left"/>
            </w:pPr>
            <w:r>
              <w:t xml:space="preserve">7,1M</w:t>
            </w:r>
          </w:p>
        </w:tc>
        <w:tc>
          <w:p>
            <w:pPr>
              <w:pStyle w:val="Compact"/>
              <w:jc w:val="left"/>
            </w:pPr>
            <w:r>
              <w:t xml:space="preserve">2,0%</w:t>
            </w:r>
          </w:p>
        </w:tc>
        <w:tc>
          <w:p>
            <w:pPr>
              <w:pStyle w:val="Compact"/>
              <w:jc w:val="left"/>
            </w:pPr>
            <w:r>
              <w:t xml:space="preserve">0,9M</w:t>
            </w:r>
          </w:p>
        </w:tc>
      </w:tr>
    </w:tbl>
    <w:p>
      <w:pPr>
        <w:pStyle w:val="BodyText"/>
      </w:pPr>
      <w:r>
        <w:rPr>
          <w:b/>
        </w:rPr>
        <w:t xml:space="preserve">Resultado: 7,8 millones de personas salen de la pobreza y 2,3 millones de la indigencia en 5 años.</w:t>
      </w:r>
    </w:p>
    <w:p>
      <w:pPr>
        <w:pStyle w:val="BodyText"/>
      </w:pPr>
      <w:r>
        <w:t xml:space="preserve">Esto es comparable a lo que logró Brasil con Bolsa Família + Lula I (2003-2010): de 35% a 15% de pobreza en 7 años. Argentina Próspera es más intensivo pero más corto.</w:t>
      </w:r>
    </w:p>
    <w:p>
      <w:pPr>
        <w:pStyle w:val="Heading3"/>
      </w:pPr>
      <w:bookmarkStart w:id="41" w:name="coeficiente-de-gini-proyectado"/>
      <w:r>
        <w:t xml:space="preserve">6.3 Coeficiente de Gini proyectado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Gini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Nivel comparable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t xml:space="preserve">0,42</w:t>
            </w:r>
          </w:p>
        </w:tc>
        <w:tc>
          <w:p>
            <w:pPr>
              <w:pStyle w:val="Compact"/>
              <w:jc w:val="left"/>
            </w:pPr>
            <w:r>
              <w:t xml:space="preserve">Argentina actual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p>
            <w:pPr>
              <w:pStyle w:val="Compact"/>
              <w:jc w:val="left"/>
            </w:pPr>
            <w:r>
              <w:t xml:space="preserve">0,39</w:t>
            </w:r>
          </w:p>
        </w:tc>
        <w:tc>
          <w:p>
            <w:pPr>
              <w:pStyle w:val="Compact"/>
              <w:jc w:val="left"/>
            </w:pPr>
            <w:r>
              <w:t xml:space="preserve">Chile actual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2031</w:t>
            </w:r>
          </w:p>
        </w:tc>
        <w:tc>
          <w:p>
            <w:pPr>
              <w:pStyle w:val="Compact"/>
              <w:jc w:val="left"/>
            </w:pPr>
            <w:r>
              <w:t xml:space="preserve">0,35</w:t>
            </w:r>
          </w:p>
        </w:tc>
        <w:tc>
          <w:p>
            <w:pPr>
              <w:pStyle w:val="Compact"/>
              <w:jc w:val="left"/>
            </w:pPr>
            <w:r>
              <w:t xml:space="preserve">Uruguay actual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(Referencia)</w:t>
            </w:r>
          </w:p>
        </w:tc>
        <w:tc>
          <w:p>
            <w:pPr>
              <w:pStyle w:val="Compact"/>
              <w:jc w:val="left"/>
            </w:pPr>
            <w:r>
              <w:t xml:space="preserve">0,27</w:t>
            </w:r>
          </w:p>
        </w:tc>
        <w:tc>
          <w:p>
            <w:pPr>
              <w:pStyle w:val="Compact"/>
              <w:jc w:val="left"/>
            </w:pPr>
            <w:r>
              <w:t xml:space="preserve">Dinamarca</w:t>
            </w:r>
          </w:p>
        </w:tc>
      </w:tr>
    </w:tbl>
    <w:p>
      <w:pPr>
        <w:pStyle w:val="BodyText"/>
      </w:pPr>
      <w:r>
        <w:t xml:space="preserve">La reducción de Gini de 0,42 a 0,35 sería la mayor mejora distributiva en la historia argentina moderna. Se logra por la combinación de: empleo formal masivo (base), tributación progresiva (cúspide), y servicios universales (piso).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impacto-en-la-deuda"/>
      <w:r>
        <w:t xml:space="preserve">7. Impacto en la Deuda</w:t>
      </w:r>
      <w:bookmarkEnd w:id="42"/>
    </w:p>
    <w:p>
      <w:pPr>
        <w:pStyle w:val="Heading3"/>
      </w:pPr>
      <w:bookmarkStart w:id="43" w:name="deuda-pública-proyectada"/>
      <w:r>
        <w:t xml:space="preserve">7.1 Deuda pública proyectada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PBI (USD 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Deuda pública (USD 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Deuda/PBI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t xml:space="preserve">650.000</w:t>
            </w:r>
          </w:p>
        </w:tc>
        <w:tc>
          <w:p>
            <w:pPr>
              <w:pStyle w:val="Compact"/>
              <w:jc w:val="left"/>
            </w:pPr>
            <w:r>
              <w:t xml:space="preserve">390.000</w:t>
            </w:r>
          </w:p>
        </w:tc>
        <w:tc>
          <w:p>
            <w:pPr>
              <w:pStyle w:val="Compact"/>
              <w:jc w:val="left"/>
            </w:pPr>
            <w:r>
              <w:t xml:space="preserve">60,0%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p>
            <w:pPr>
              <w:pStyle w:val="Compact"/>
              <w:jc w:val="left"/>
            </w:pPr>
            <w:r>
              <w:t xml:space="preserve">676.000</w:t>
            </w:r>
          </w:p>
        </w:tc>
        <w:tc>
          <w:p>
            <w:pPr>
              <w:pStyle w:val="Compact"/>
              <w:jc w:val="left"/>
            </w:pPr>
            <w:r>
              <w:t xml:space="preserve">393.000</w:t>
            </w:r>
          </w:p>
        </w:tc>
        <w:tc>
          <w:p>
            <w:pPr>
              <w:pStyle w:val="Compact"/>
              <w:jc w:val="left"/>
            </w:pPr>
            <w:r>
              <w:t xml:space="preserve">58,1%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p>
            <w:pPr>
              <w:pStyle w:val="Compact"/>
              <w:jc w:val="left"/>
            </w:pPr>
            <w:r>
              <w:t xml:space="preserve">707.000</w:t>
            </w:r>
          </w:p>
        </w:tc>
        <w:tc>
          <w:p>
            <w:pPr>
              <w:pStyle w:val="Compact"/>
              <w:jc w:val="left"/>
            </w:pPr>
            <w:r>
              <w:t xml:space="preserve">397.000</w:t>
            </w:r>
          </w:p>
        </w:tc>
        <w:tc>
          <w:p>
            <w:pPr>
              <w:pStyle w:val="Compact"/>
              <w:jc w:val="left"/>
            </w:pPr>
            <w:r>
              <w:t xml:space="preserve">56,2%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p>
            <w:pPr>
              <w:pStyle w:val="Compact"/>
              <w:jc w:val="left"/>
            </w:pPr>
            <w:r>
              <w:t xml:space="preserve">742.000</w:t>
            </w:r>
          </w:p>
        </w:tc>
        <w:tc>
          <w:p>
            <w:pPr>
              <w:pStyle w:val="Compact"/>
              <w:jc w:val="left"/>
            </w:pPr>
            <w:r>
              <w:t xml:space="preserve">399.000</w:t>
            </w:r>
          </w:p>
        </w:tc>
        <w:tc>
          <w:p>
            <w:pPr>
              <w:pStyle w:val="Compact"/>
              <w:jc w:val="left"/>
            </w:pPr>
            <w:r>
              <w:t xml:space="preserve">53,8%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p>
            <w:pPr>
              <w:pStyle w:val="Compact"/>
              <w:jc w:val="left"/>
            </w:pPr>
            <w:r>
              <w:t xml:space="preserve">779.000</w:t>
            </w:r>
          </w:p>
        </w:tc>
        <w:tc>
          <w:p>
            <w:pPr>
              <w:pStyle w:val="Compact"/>
              <w:jc w:val="left"/>
            </w:pPr>
            <w:r>
              <w:t xml:space="preserve">398.000</w:t>
            </w:r>
          </w:p>
        </w:tc>
        <w:tc>
          <w:p>
            <w:pPr>
              <w:pStyle w:val="Compact"/>
              <w:jc w:val="left"/>
            </w:pPr>
            <w:r>
              <w:t xml:space="preserve">51,1%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2031</w:t>
            </w:r>
          </w:p>
        </w:tc>
        <w:tc>
          <w:p>
            <w:pPr>
              <w:pStyle w:val="Compact"/>
              <w:jc w:val="left"/>
            </w:pPr>
            <w:r>
              <w:t xml:space="preserve">818.000</w:t>
            </w:r>
          </w:p>
        </w:tc>
        <w:tc>
          <w:p>
            <w:pPr>
              <w:pStyle w:val="Compact"/>
              <w:jc w:val="left"/>
            </w:pPr>
            <w:r>
              <w:t xml:space="preserve">395.000</w:t>
            </w:r>
          </w:p>
        </w:tc>
        <w:tc>
          <w:p>
            <w:pPr>
              <w:pStyle w:val="Compact"/>
              <w:jc w:val="left"/>
            </w:pPr>
            <w:r>
              <w:t xml:space="preserve">48,3%</w:t>
            </w:r>
          </w:p>
        </w:tc>
      </w:tr>
    </w:tbl>
    <w:p>
      <w:pPr>
        <w:pStyle w:val="BodyText"/>
      </w:pPr>
      <w:r>
        <w:rPr>
          <w:b/>
        </w:rPr>
        <w:t xml:space="preserve">La deuda como porcentaje del PBI baja de 60% a 48,3% — no porque se deje de invertir, sino porque el PBI crece más rápido que la deuda.</w:t>
      </w:r>
    </w:p>
    <w:p>
      <w:pPr>
        <w:pStyle w:val="BodyText"/>
      </w:pPr>
      <w:r>
        <w:t xml:space="preserve">Supuestos: deuda nueva neta de ~USD 2.000M/año (multilaterales), amortizaciones de USD 3.000M/año (incluyendo FMI). Sin endeudamiento en mercados privados.</w:t>
      </w:r>
    </w:p>
    <w:p>
      <w:pPr>
        <w:pStyle w:val="Heading3"/>
      </w:pPr>
      <w:bookmarkStart w:id="44" w:name="deuda-fmi"/>
      <w:r>
        <w:t xml:space="preserve">7.2 Deuda FMI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Vencimiento FMI (USD 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Saldo FMI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57.100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p>
            <w:pPr>
              <w:pStyle w:val="Compact"/>
              <w:jc w:val="left"/>
            </w:pPr>
            <w:r>
              <w:t xml:space="preserve">5.500</w:t>
            </w:r>
          </w:p>
        </w:tc>
        <w:tc>
          <w:p>
            <w:pPr>
              <w:pStyle w:val="Compact"/>
              <w:jc w:val="left"/>
            </w:pPr>
            <w:r>
              <w:t xml:space="preserve">5.500</w:t>
            </w:r>
          </w:p>
        </w:tc>
        <w:tc>
          <w:p>
            <w:pPr>
              <w:pStyle w:val="Compact"/>
              <w:jc w:val="left"/>
            </w:pPr>
            <w:r>
              <w:t xml:space="preserve">51.600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p>
            <w:pPr>
              <w:pStyle w:val="Compact"/>
              <w:jc w:val="left"/>
            </w:pPr>
            <w:r>
              <w:t xml:space="preserve">7.000</w:t>
            </w:r>
          </w:p>
        </w:tc>
        <w:tc>
          <w:p>
            <w:pPr>
              <w:pStyle w:val="Compact"/>
              <w:jc w:val="left"/>
            </w:pPr>
            <w:r>
              <w:t xml:space="preserve">7.000</w:t>
            </w:r>
          </w:p>
        </w:tc>
        <w:tc>
          <w:p>
            <w:pPr>
              <w:pStyle w:val="Compact"/>
              <w:jc w:val="left"/>
            </w:pPr>
            <w:r>
              <w:t xml:space="preserve">44.600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p>
            <w:pPr>
              <w:pStyle w:val="Compact"/>
              <w:jc w:val="left"/>
            </w:pPr>
            <w:r>
              <w:t xml:space="preserve">8.000</w:t>
            </w:r>
          </w:p>
        </w:tc>
        <w:tc>
          <w:p>
            <w:pPr>
              <w:pStyle w:val="Compact"/>
              <w:jc w:val="left"/>
            </w:pPr>
            <w:r>
              <w:t xml:space="preserve">8.000</w:t>
            </w:r>
          </w:p>
        </w:tc>
        <w:tc>
          <w:p>
            <w:pPr>
              <w:pStyle w:val="Compact"/>
              <w:jc w:val="left"/>
            </w:pPr>
            <w:r>
              <w:t xml:space="preserve">36.600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p>
            <w:pPr>
              <w:pStyle w:val="Compact"/>
              <w:jc w:val="left"/>
            </w:pPr>
            <w:r>
              <w:t xml:space="preserve">8.000</w:t>
            </w:r>
          </w:p>
        </w:tc>
        <w:tc>
          <w:p>
            <w:pPr>
              <w:pStyle w:val="Compact"/>
              <w:jc w:val="left"/>
            </w:pPr>
            <w:r>
              <w:t xml:space="preserve">8.000</w:t>
            </w:r>
          </w:p>
        </w:tc>
        <w:tc>
          <w:p>
            <w:pPr>
              <w:pStyle w:val="Compact"/>
              <w:jc w:val="left"/>
            </w:pPr>
            <w:r>
              <w:t xml:space="preserve">28.600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2031</w:t>
            </w:r>
          </w:p>
        </w:tc>
        <w:tc>
          <w:p>
            <w:pPr>
              <w:pStyle w:val="Compact"/>
              <w:jc w:val="left"/>
            </w:pPr>
            <w:r>
              <w:t xml:space="preserve">8.000</w:t>
            </w:r>
          </w:p>
        </w:tc>
        <w:tc>
          <w:p>
            <w:pPr>
              <w:pStyle w:val="Compact"/>
              <w:jc w:val="left"/>
            </w:pPr>
            <w:r>
              <w:t xml:space="preserve">8.000</w:t>
            </w:r>
          </w:p>
        </w:tc>
        <w:tc>
          <w:p>
            <w:pPr>
              <w:pStyle w:val="Compact"/>
              <w:jc w:val="left"/>
            </w:pPr>
            <w:r>
              <w:t xml:space="preserve">20.600</w:t>
            </w:r>
          </w:p>
        </w:tc>
      </w:tr>
    </w:tbl>
    <w:p>
      <w:pPr>
        <w:pStyle w:val="BodyText"/>
      </w:pPr>
      <w:r>
        <w:t xml:space="preserve">La deuda con el FMI se reduce de USD 57.100M a USD 20.600M en 5 años. Esto libera espacio fiscal y reduce la vulnerabilidad externa. Supuesto: los pagos se realizan con el superávit comercial existente (USD 18.900M/año) y la mejora de reservas por mayor exportación.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balanza-comercial-y-reservas"/>
      <w:r>
        <w:t xml:space="preserve">8. Balanza Comercial y Reservas</w:t>
      </w:r>
      <w:bookmarkEnd w:id="45"/>
    </w:p>
    <w:p>
      <w:pPr>
        <w:pStyle w:val="Heading3"/>
      </w:pPr>
      <w:bookmarkStart w:id="46" w:name="proyección-de-exportaciones"/>
      <w:r>
        <w:t xml:space="preserve">8.1 Proyección de exportaciones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Rubro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2031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Agroindustria (con valor agregado)</w:t>
            </w:r>
          </w:p>
        </w:tc>
        <w:tc>
          <w:p>
            <w:pPr>
              <w:pStyle w:val="Compact"/>
              <w:jc w:val="left"/>
            </w:pPr>
            <w:r>
              <w:t xml:space="preserve">52.000</w:t>
            </w:r>
          </w:p>
        </w:tc>
        <w:tc>
          <w:p>
            <w:pPr>
              <w:pStyle w:val="Compact"/>
              <w:jc w:val="left"/>
            </w:pPr>
            <w:r>
              <w:t xml:space="preserve">62.000</w:t>
            </w:r>
          </w:p>
        </w:tc>
        <w:tc>
          <w:p>
            <w:pPr>
              <w:pStyle w:val="Compact"/>
              <w:jc w:val="left"/>
            </w:pPr>
            <w:r>
              <w:t xml:space="preserve">+19%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Energía (gas + renovables + H2)</w:t>
            </w:r>
          </w:p>
        </w:tc>
        <w:tc>
          <w:p>
            <w:pPr>
              <w:pStyle w:val="Compact"/>
              <w:jc w:val="left"/>
            </w:pPr>
            <w:r>
              <w:t xml:space="preserve">8.000</w:t>
            </w:r>
          </w:p>
        </w:tc>
        <w:tc>
          <w:p>
            <w:pPr>
              <w:pStyle w:val="Compact"/>
              <w:jc w:val="left"/>
            </w:pPr>
            <w:r>
              <w:t xml:space="preserve">14.000</w:t>
            </w:r>
          </w:p>
        </w:tc>
        <w:tc>
          <w:p>
            <w:pPr>
              <w:pStyle w:val="Compact"/>
              <w:jc w:val="left"/>
            </w:pPr>
            <w:r>
              <w:t xml:space="preserve">+75%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Servicios tech</w:t>
            </w:r>
          </w:p>
        </w:tc>
        <w:tc>
          <w:p>
            <w:pPr>
              <w:pStyle w:val="Compact"/>
              <w:jc w:val="left"/>
            </w:pPr>
            <w:r>
              <w:t xml:space="preserve">9.000</w:t>
            </w:r>
          </w:p>
        </w:tc>
        <w:tc>
          <w:p>
            <w:pPr>
              <w:pStyle w:val="Compact"/>
              <w:jc w:val="left"/>
            </w:pPr>
            <w:r>
              <w:t xml:space="preserve">18.000</w:t>
            </w:r>
          </w:p>
        </w:tc>
        <w:tc>
          <w:p>
            <w:pPr>
              <w:pStyle w:val="Compact"/>
              <w:jc w:val="left"/>
            </w:pPr>
            <w:r>
              <w:t xml:space="preserve">+100%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Turismo</w:t>
            </w:r>
          </w:p>
        </w:tc>
        <w:tc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p>
            <w:pPr>
              <w:pStyle w:val="Compact"/>
              <w:jc w:val="left"/>
            </w:pPr>
            <w:r>
              <w:t xml:space="preserve">+100%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Litio industrializado</w:t>
            </w:r>
          </w:p>
        </w:tc>
        <w:tc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p>
            <w:pPr>
              <w:pStyle w:val="Compact"/>
              <w:jc w:val="left"/>
            </w:pPr>
            <w:r>
              <w:t xml:space="preserve">+150%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Otros</w:t>
            </w:r>
          </w:p>
        </w:tc>
        <w:tc>
          <w:p>
            <w:pPr>
              <w:pStyle w:val="Compact"/>
              <w:jc w:val="left"/>
            </w:pPr>
            <w:r>
              <w:t xml:space="preserve">3.700</w:t>
            </w:r>
          </w:p>
        </w:tc>
        <w:tc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p>
            <w:pPr>
              <w:pStyle w:val="Compact"/>
              <w:jc w:val="left"/>
            </w:pPr>
            <w:r>
              <w:t xml:space="preserve">+35%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exportaciones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79.700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114.000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+43%</w:t>
            </w:r>
          </w:p>
        </w:tc>
      </w:tr>
    </w:tbl>
    <w:p>
      <w:pPr>
        <w:pStyle w:val="Heading3"/>
      </w:pPr>
      <w:bookmarkStart w:id="47" w:name="balanza-comercial-proyectada"/>
      <w:r>
        <w:t xml:space="preserve">8.2 Balanza comercial proyectada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Exportaciones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Importaciones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t xml:space="preserve">79.700</w:t>
            </w:r>
          </w:p>
        </w:tc>
        <w:tc>
          <w:p>
            <w:pPr>
              <w:pStyle w:val="Compact"/>
              <w:jc w:val="left"/>
            </w:pPr>
            <w:r>
              <w:t xml:space="preserve">60.800</w:t>
            </w:r>
          </w:p>
        </w:tc>
        <w:tc>
          <w:p>
            <w:pPr>
              <w:pStyle w:val="Compact"/>
              <w:jc w:val="left"/>
            </w:pPr>
            <w:r>
              <w:t xml:space="preserve">+18.900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p>
            <w:pPr>
              <w:pStyle w:val="Compact"/>
              <w:jc w:val="left"/>
            </w:pPr>
            <w:r>
              <w:t xml:space="preserve">90.000</w:t>
            </w:r>
          </w:p>
        </w:tc>
        <w:tc>
          <w:p>
            <w:pPr>
              <w:pStyle w:val="Compact"/>
              <w:jc w:val="left"/>
            </w:pPr>
            <w:r>
              <w:t xml:space="preserve">72.000</w:t>
            </w:r>
          </w:p>
        </w:tc>
        <w:tc>
          <w:p>
            <w:pPr>
              <w:pStyle w:val="Compact"/>
              <w:jc w:val="left"/>
            </w:pPr>
            <w:r>
              <w:t xml:space="preserve">+18.000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2031</w:t>
            </w:r>
          </w:p>
        </w:tc>
        <w:tc>
          <w:p>
            <w:pPr>
              <w:pStyle w:val="Compact"/>
              <w:jc w:val="left"/>
            </w:pPr>
            <w:r>
              <w:t xml:space="preserve">114.000</w:t>
            </w:r>
          </w:p>
        </w:tc>
        <w:tc>
          <w:p>
            <w:pPr>
              <w:pStyle w:val="Compact"/>
              <w:jc w:val="left"/>
            </w:pPr>
            <w:r>
              <w:t xml:space="preserve">90.000</w:t>
            </w:r>
          </w:p>
        </w:tc>
        <w:tc>
          <w:p>
            <w:pPr>
              <w:pStyle w:val="Compact"/>
              <w:jc w:val="left"/>
            </w:pPr>
            <w:r>
              <w:t xml:space="preserve">+24.000</w:t>
            </w:r>
          </w:p>
        </w:tc>
      </w:tr>
    </w:tbl>
    <w:p>
      <w:pPr>
        <w:pStyle w:val="BodyText"/>
      </w:pPr>
      <w:r>
        <w:t xml:space="preserve">El superávit comercial se mantiene e incluso crece, porque las nuevas exportaciones (tech, H2, turismo, litio industrializado) crecen más rápido que las importaciones asociadas al plan.</w:t>
      </w:r>
    </w:p>
    <w:p>
      <w:pPr>
        <w:pStyle w:val="Heading3"/>
      </w:pPr>
      <w:bookmarkStart w:id="48" w:name="reservas-internacionales"/>
      <w:r>
        <w:t xml:space="preserve">8.3 Reservas internacionales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Reservas (USD 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t xml:space="preserve">30.000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p>
            <w:pPr>
              <w:pStyle w:val="Compact"/>
              <w:jc w:val="left"/>
            </w:pPr>
            <w:r>
              <w:t xml:space="preserve">40.000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2031</w:t>
            </w:r>
          </w:p>
        </w:tc>
        <w:tc>
          <w:p>
            <w:pPr>
              <w:pStyle w:val="Compact"/>
              <w:jc w:val="left"/>
            </w:pPr>
            <w:r>
              <w:t xml:space="preserve">55.000</w:t>
            </w:r>
          </w:p>
        </w:tc>
      </w:tr>
    </w:tbl>
    <w:p>
      <w:pPr>
        <w:pStyle w:val="BodyText"/>
      </w:pPr>
      <w:r>
        <w:t xml:space="preserve">Reservas de USD 55.000M (6,7% del PBI) darían a Argentina un colchón sólido contra shocks externos.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escenarios-alternativos"/>
      <w:r>
        <w:t xml:space="preserve">9. Escenarios Alternativos</w:t>
      </w:r>
      <w:bookmarkEnd w:id="49"/>
    </w:p>
    <w:p>
      <w:pPr>
        <w:pStyle w:val="Heading3"/>
      </w:pPr>
      <w:bookmarkStart w:id="50" w:name="X7c1a16e968aca9cdc09c0b6f46d5c688ecd7695"/>
      <w:r>
        <w:t xml:space="preserve">Escenario A: Optimista (todo sale bien + viento a favor)</w:t>
      </w:r>
      <w:bookmarkEnd w:id="50"/>
    </w:p>
    <w:p>
      <w:pPr>
        <w:numPr>
          <w:ilvl w:val="0"/>
          <w:numId w:val="1002"/>
        </w:numPr>
        <w:pStyle w:val="Compact"/>
      </w:pPr>
      <w:r>
        <w:t xml:space="preserve">Crecimiento global fuerte, precios de commodities altos, rápida adopción de H2 verde</w:t>
      </w:r>
    </w:p>
    <w:p>
      <w:pPr>
        <w:numPr>
          <w:ilvl w:val="0"/>
          <w:numId w:val="1002"/>
        </w:numPr>
        <w:pStyle w:val="Compact"/>
      </w:pPr>
      <w:r>
        <w:t xml:space="preserve">Recaudación nueva: USD 14.500M/año (escenario alto)</w:t>
      </w:r>
    </w:p>
    <w:p>
      <w:pPr>
        <w:numPr>
          <w:ilvl w:val="0"/>
          <w:numId w:val="1002"/>
        </w:numPr>
        <w:pStyle w:val="Compact"/>
      </w:pPr>
      <w:r>
        <w:t xml:space="preserve">PBI 2031: USD 850.000M</w:t>
      </w:r>
    </w:p>
    <w:p>
      <w:pPr>
        <w:numPr>
          <w:ilvl w:val="0"/>
          <w:numId w:val="1002"/>
        </w:numPr>
        <w:pStyle w:val="Compact"/>
      </w:pPr>
      <w:r>
        <w:t xml:space="preserve">Pobreza 2031: ~12%</w:t>
      </w:r>
    </w:p>
    <w:p>
      <w:pPr>
        <w:numPr>
          <w:ilvl w:val="0"/>
          <w:numId w:val="1002"/>
        </w:numPr>
        <w:pStyle w:val="Compact"/>
      </w:pPr>
      <w:r>
        <w:t xml:space="preserve">Deuda/PBI: 45%</w:t>
      </w:r>
    </w:p>
    <w:p>
      <w:pPr>
        <w:pStyle w:val="Heading3"/>
      </w:pPr>
      <w:bookmarkStart w:id="51" w:name="X7d4330097817dec5f2b582c85622c3d8dcb61e2"/>
      <w:r>
        <w:t xml:space="preserve">Escenario B: Base (lo proyectado en este documento)</w:t>
      </w:r>
      <w:bookmarkEnd w:id="51"/>
    </w:p>
    <w:p>
      <w:pPr>
        <w:numPr>
          <w:ilvl w:val="0"/>
          <w:numId w:val="1003"/>
        </w:numPr>
        <w:pStyle w:val="Compact"/>
      </w:pPr>
      <w:r>
        <w:t xml:space="preserve">PBI 2031: USD 818.000M</w:t>
      </w:r>
    </w:p>
    <w:p>
      <w:pPr>
        <w:numPr>
          <w:ilvl w:val="0"/>
          <w:numId w:val="1003"/>
        </w:numPr>
        <w:pStyle w:val="Compact"/>
      </w:pPr>
      <w:r>
        <w:t xml:space="preserve">Pobreza 2031: ~15%</w:t>
      </w:r>
    </w:p>
    <w:p>
      <w:pPr>
        <w:numPr>
          <w:ilvl w:val="0"/>
          <w:numId w:val="1003"/>
        </w:numPr>
        <w:pStyle w:val="Compact"/>
      </w:pPr>
      <w:r>
        <w:t xml:space="preserve">Deuda/PBI: 48,3%</w:t>
      </w:r>
    </w:p>
    <w:p>
      <w:pPr>
        <w:pStyle w:val="Heading3"/>
      </w:pPr>
      <w:bookmarkStart w:id="52" w:name="X96d6d14bb798e1dc1956d73cb7b70f204788649"/>
      <w:r>
        <w:t xml:space="preserve">Escenario C: Pesimista (recesión global + sequía + resistencia política)</w:t>
      </w:r>
      <w:bookmarkEnd w:id="52"/>
    </w:p>
    <w:p>
      <w:pPr>
        <w:numPr>
          <w:ilvl w:val="0"/>
          <w:numId w:val="1004"/>
        </w:numPr>
        <w:pStyle w:val="Compact"/>
      </w:pPr>
      <w:r>
        <w:t xml:space="preserve">Crecimiento global bajo, sequía un año, resistencia a reforma tributaria retrasa implementación</w:t>
      </w:r>
    </w:p>
    <w:p>
      <w:pPr>
        <w:numPr>
          <w:ilvl w:val="0"/>
          <w:numId w:val="1004"/>
        </w:numPr>
        <w:pStyle w:val="Compact"/>
      </w:pPr>
      <w:r>
        <w:t xml:space="preserve">Recaudación nueva: USD 7.900M/año</w:t>
      </w:r>
    </w:p>
    <w:p>
      <w:pPr>
        <w:numPr>
          <w:ilvl w:val="0"/>
          <w:numId w:val="1004"/>
        </w:numPr>
        <w:pStyle w:val="Compact"/>
      </w:pPr>
      <w:r>
        <w:t xml:space="preserve">PBI 2031: USD 750.000M</w:t>
      </w:r>
    </w:p>
    <w:p>
      <w:pPr>
        <w:numPr>
          <w:ilvl w:val="0"/>
          <w:numId w:val="1004"/>
        </w:numPr>
        <w:pStyle w:val="Compact"/>
      </w:pPr>
      <w:r>
        <w:t xml:space="preserve">Pobreza 2031: ~20%</w:t>
      </w:r>
    </w:p>
    <w:p>
      <w:pPr>
        <w:numPr>
          <w:ilvl w:val="0"/>
          <w:numId w:val="1004"/>
        </w:numPr>
        <w:pStyle w:val="Compact"/>
      </w:pPr>
      <w:r>
        <w:t xml:space="preserve">Deuda/PBI: 55%</w:t>
      </w:r>
    </w:p>
    <w:p>
      <w:pPr>
        <w:pStyle w:val="Heading3"/>
      </w:pPr>
      <w:bookmarkStart w:id="53" w:name="escenario-d-catastrófico-crisis-múltiple"/>
      <w:r>
        <w:t xml:space="preserve">Escenario D: Catastrófico (crisis múltiple)</w:t>
      </w:r>
      <w:bookmarkEnd w:id="53"/>
    </w:p>
    <w:p>
      <w:pPr>
        <w:numPr>
          <w:ilvl w:val="0"/>
          <w:numId w:val="1005"/>
        </w:numPr>
        <w:pStyle w:val="Compact"/>
      </w:pPr>
      <w:r>
        <w:t xml:space="preserve">Crisis financiera global + sequía severa 2 años consecutivos + fuga de capitales masiva</w:t>
      </w:r>
    </w:p>
    <w:p>
      <w:pPr>
        <w:numPr>
          <w:ilvl w:val="0"/>
          <w:numId w:val="1005"/>
        </w:numPr>
        <w:pStyle w:val="Compact"/>
      </w:pPr>
      <w:r>
        <w:t xml:space="preserve">En este caso: el plan se desacelera pero no se abandona. La Garantía de Empleo actúa como estabilizador. Las renovables reducen dependencia energética importada. La diversificación exportadora amortigua el shock.</w:t>
      </w:r>
    </w:p>
    <w:p>
      <w:pPr>
        <w:numPr>
          <w:ilvl w:val="0"/>
          <w:numId w:val="1005"/>
        </w:numPr>
        <w:pStyle w:val="Compact"/>
      </w:pPr>
      <w:r>
        <w:t xml:space="preserve">PBI 2031: USD 700.000M</w:t>
      </w:r>
    </w:p>
    <w:p>
      <w:pPr>
        <w:numPr>
          <w:ilvl w:val="0"/>
          <w:numId w:val="1005"/>
        </w:numPr>
        <w:pStyle w:val="Compact"/>
      </w:pPr>
      <w:r>
        <w:t xml:space="preserve">Pobreza 2031: ~25% (mejor que sin plan, que sería ~35%+)</w:t>
      </w:r>
    </w:p>
    <w:p>
      <w:pPr>
        <w:pStyle w:val="FirstParagraph"/>
      </w:pPr>
      <w:r>
        <w:t xml:space="preserve">Incluso en el escenario catastrófico, Argentina con el plan está mejor que Argentina sin él.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2c7b7060b9452875a36f7a290b139b62712fcdd"/>
      <w:r>
        <w:t xml:space="preserve">10. Comparación con la Alternativa: ¿Qué pasa si no se hace nada?</w:t>
      </w:r>
      <w:bookmarkEnd w:id="54"/>
    </w:p>
    <w:tbl>
      <w:tblPr>
        <w:tblStyle w:val="Table"/>
        <w:tblW w:type="pct" w:w="5000.0"/>
        <w:tblLook w:firstRow="1"/>
      </w:tblPr>
      <w:tblGrid>
        <w:gridCol w:w="1002"/>
        <w:gridCol w:w="3007"/>
        <w:gridCol w:w="2706"/>
        <w:gridCol w:w="120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 Argentina Próspera (base)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Sin plan (tendencia actual)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Diferencia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PBI 2031</w:t>
            </w:r>
          </w:p>
        </w:tc>
        <w:tc>
          <w:p>
            <w:pPr>
              <w:pStyle w:val="Compact"/>
              <w:jc w:val="left"/>
            </w:pPr>
            <w:r>
              <w:t xml:space="preserve">USD 818.000M</w:t>
            </w:r>
          </w:p>
        </w:tc>
        <w:tc>
          <w:p>
            <w:pPr>
              <w:pStyle w:val="Compact"/>
              <w:jc w:val="left"/>
            </w:pPr>
            <w:r>
              <w:t xml:space="preserve">USD 718.000M</w:t>
            </w:r>
          </w:p>
        </w:tc>
        <w:tc>
          <w:p>
            <w:pPr>
              <w:pStyle w:val="Compact"/>
              <w:jc w:val="left"/>
            </w:pPr>
            <w:r>
              <w:t xml:space="preserve">+USD 100.000M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Pobreza 2031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28-30%</w:t>
            </w:r>
          </w:p>
        </w:tc>
        <w:tc>
          <w:p>
            <w:pPr>
              <w:pStyle w:val="Compact"/>
              <w:jc w:val="left"/>
            </w:pPr>
            <w:r>
              <w:t xml:space="preserve">-13-15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Informalidad 2031</w:t>
            </w:r>
          </w:p>
        </w:tc>
        <w:tc>
          <w:p>
            <w:pPr>
              <w:pStyle w:val="Compact"/>
              <w:jc w:val="left"/>
            </w:pPr>
            <w:r>
              <w:t xml:space="preserve">23%</w:t>
            </w:r>
          </w:p>
        </w:tc>
        <w:tc>
          <w:p>
            <w:pPr>
              <w:pStyle w:val="Compact"/>
              <w:jc w:val="left"/>
            </w:pPr>
            <w:r>
              <w:t xml:space="preserve">40%+</w:t>
            </w:r>
          </w:p>
        </w:tc>
        <w:tc>
          <w:p>
            <w:pPr>
              <w:pStyle w:val="Compact"/>
              <w:jc w:val="left"/>
            </w:pPr>
            <w:r>
              <w:t xml:space="preserve">-17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Emisiones CO₂ 2031</w:t>
            </w:r>
          </w:p>
        </w:tc>
        <w:tc>
          <w:p>
            <w:pPr>
              <w:pStyle w:val="Compact"/>
              <w:jc w:val="left"/>
            </w:pPr>
            <w:r>
              <w:t xml:space="preserve">240 MtCO₂e</w:t>
            </w:r>
          </w:p>
        </w:tc>
        <w:tc>
          <w:p>
            <w:pPr>
              <w:pStyle w:val="Compact"/>
              <w:jc w:val="left"/>
            </w:pPr>
            <w:r>
              <w:t xml:space="preserve">420+ MtCO₂e</w:t>
            </w:r>
          </w:p>
        </w:tc>
        <w:tc>
          <w:p>
            <w:pPr>
              <w:pStyle w:val="Compact"/>
              <w:jc w:val="left"/>
            </w:pPr>
            <w:r>
              <w:t xml:space="preserve">-180 MtCO₂e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Deuda/PBI 2031</w:t>
            </w:r>
          </w:p>
        </w:tc>
        <w:tc>
          <w:p>
            <w:pPr>
              <w:pStyle w:val="Compact"/>
              <w:jc w:val="left"/>
            </w:pPr>
            <w:r>
              <w:t xml:space="preserve">48%</w:t>
            </w:r>
          </w:p>
        </w:tc>
        <w:tc>
          <w:p>
            <w:pPr>
              <w:pStyle w:val="Compact"/>
              <w:jc w:val="left"/>
            </w:pPr>
            <w:r>
              <w:t xml:space="preserve">65%+</w:t>
            </w:r>
          </w:p>
        </w:tc>
        <w:tc>
          <w:p>
            <w:pPr>
              <w:pStyle w:val="Compact"/>
              <w:jc w:val="left"/>
            </w:pPr>
            <w:r>
              <w:t xml:space="preserve">-17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Desempleo 2031</w:t>
            </w:r>
          </w:p>
        </w:tc>
        <w:tc>
          <w:p>
            <w:pPr>
              <w:pStyle w:val="Compact"/>
              <w:jc w:val="left"/>
            </w:pPr>
            <w:r>
              <w:t xml:space="preserve">1,5%</w:t>
            </w:r>
          </w:p>
        </w:tc>
        <w:tc>
          <w:p>
            <w:pPr>
              <w:pStyle w:val="Compact"/>
              <w:jc w:val="left"/>
            </w:pPr>
            <w:r>
              <w:t xml:space="preserve">8-10% (impacto IA)</w:t>
            </w:r>
          </w:p>
        </w:tc>
        <w:tc>
          <w:p>
            <w:pPr>
              <w:pStyle w:val="Compact"/>
              <w:jc w:val="left"/>
            </w:pPr>
            <w:r>
              <w:t xml:space="preserve">-6,5-8,5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Matriz renovable 2031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+30 pp</w:t>
            </w:r>
          </w:p>
        </w:tc>
      </w:tr>
    </w:tbl>
    <w:p>
      <w:pPr>
        <w:pStyle w:val="BodyText"/>
      </w:pPr>
      <w:r>
        <w:t xml:space="preserve">La comparación más brutal: sin plan, la revolución de la IA va a destruir empleos que Argentina no va a poder reemplazar. La pobreza se va a estancar o empeorar. El cambio climático va a golpear a comunidades sin preparación. Y la deuda va a seguir creciendo porque no hay crecimiento genuino.</w:t>
      </w:r>
    </w:p>
    <w:p>
      <w:pPr>
        <w:pStyle w:val="BodyText"/>
      </w:pPr>
      <w:r>
        <w:t xml:space="preserve">No hacer nada no es gratis. No hacer nada es el escenario más caro de todos.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nota-metodológica"/>
      <w:r>
        <w:t xml:space="preserve">11. Nota Metodológica</w:t>
      </w:r>
      <w:bookmarkEnd w:id="55"/>
    </w:p>
    <w:p>
      <w:pPr>
        <w:pStyle w:val="FirstParagraph"/>
      </w:pPr>
      <w:r>
        <w:t xml:space="preserve">Este modelo usa supuestos conservadores y multiplicadores basados en evidencia empírica: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Multiplicador fiscal</w:t>
      </w:r>
      <w:r>
        <w:t xml:space="preserve">: 1,7 (rango 1,5-2,5 según FMI, Blanchard &amp; Leigh 2013, para economías con capacidad ociosa)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Retorno de inversión en primera infancia</w:t>
      </w:r>
      <w:r>
        <w:t xml:space="preserve">: 7-13:1 (Heckman, Nobel 2000)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Efecto de salud preventiva en productividad</w:t>
      </w:r>
      <w:r>
        <w:t xml:space="preserve">: +1,5-3% del PBI (Bloom et al., Lancet Commission 2018)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Multiplicador de empleo en construcción</w:t>
      </w:r>
      <w:r>
        <w:t xml:space="preserve">: 2,5 empleos indirectos por cada directo (OIT)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Propensión marginal al consumo de bajos ingresos</w:t>
      </w:r>
      <w:r>
        <w:t xml:space="preserve">: 0,85-0,95 (estándar en literatura)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Tasa de fuga/formalización del empleo garantizado</w:t>
      </w:r>
      <w:r>
        <w:t xml:space="preserve">: 10-15% anual migran al sector privado (experiencia India NREGA)</w:t>
      </w:r>
    </w:p>
    <w:p>
      <w:pPr>
        <w:pStyle w:val="FirstParagraph"/>
      </w:pPr>
      <w:r>
        <w:t xml:space="preserve">Las proyecciones no incluyen efectos de segunda ronda (mejora en la productividad a 10+ años por educación temprana, reducción de costos de salud por prevención, reducción de criminalidad por empleo). El modelo real probablemente subestima los beneficios de largo plazo.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conclusión-un-modelo-que-cierra"/>
      <w:r>
        <w:t xml:space="preserve">12. Conclusión: Un modelo que cierra</w:t>
      </w:r>
      <w:bookmarkEnd w:id="56"/>
    </w:p>
    <w:p>
      <w:pPr>
        <w:pStyle w:val="FirstParagraph"/>
      </w:pPr>
      <w:r>
        <w:t xml:space="preserve">Los números de Argentina Próspera cierran en todos los escenarios salvo el catastrófico — y aun en ese caso, el plan amortigua el golpe mejor que la inacción.</w:t>
      </w:r>
    </w:p>
    <w:p>
      <w:pPr>
        <w:pStyle w:val="BodyText"/>
      </w:pPr>
      <w:r>
        <w:t xml:space="preserve">La inversión de USD 82.122M en 5 años genera:</w:t>
      </w:r>
    </w:p>
    <w:p>
      <w:pPr>
        <w:numPr>
          <w:ilvl w:val="0"/>
          <w:numId w:val="1007"/>
        </w:numPr>
        <w:pStyle w:val="Compact"/>
      </w:pPr>
      <w:r>
        <w:t xml:space="preserve">Un PBI adicional de USD 100.000M (ratio 1:3,3)</w:t>
      </w:r>
    </w:p>
    <w:p>
      <w:pPr>
        <w:numPr>
          <w:ilvl w:val="0"/>
          <w:numId w:val="1007"/>
        </w:numPr>
        <w:pStyle w:val="Compact"/>
      </w:pPr>
      <w:r>
        <w:t xml:space="preserve">2 millones de empleos netos</w:t>
      </w:r>
    </w:p>
    <w:p>
      <w:pPr>
        <w:numPr>
          <w:ilvl w:val="0"/>
          <w:numId w:val="1007"/>
        </w:numPr>
        <w:pStyle w:val="Compact"/>
      </w:pPr>
      <w:r>
        <w:t xml:space="preserve">7,8 millones de personas sacadas de la pobreza</w:t>
      </w:r>
    </w:p>
    <w:p>
      <w:pPr>
        <w:numPr>
          <w:ilvl w:val="0"/>
          <w:numId w:val="1007"/>
        </w:numPr>
        <w:pStyle w:val="Compact"/>
      </w:pPr>
      <w:r>
        <w:t xml:space="preserve">Reducción de deuda/PBI de 12 puntos</w:t>
      </w:r>
    </w:p>
    <w:p>
      <w:pPr>
        <w:numPr>
          <w:ilvl w:val="0"/>
          <w:numId w:val="1007"/>
        </w:numPr>
        <w:pStyle w:val="Compact"/>
      </w:pPr>
      <w:r>
        <w:t xml:space="preserve">Superávit comercial creciente</w:t>
      </w:r>
    </w:p>
    <w:p>
      <w:pPr>
        <w:numPr>
          <w:ilvl w:val="0"/>
          <w:numId w:val="1007"/>
        </w:numPr>
        <w:pStyle w:val="Compact"/>
      </w:pPr>
      <w:r>
        <w:t xml:space="preserve">Matriz energética 50% renovable</w:t>
      </w:r>
    </w:p>
    <w:p>
      <w:pPr>
        <w:numPr>
          <w:ilvl w:val="0"/>
          <w:numId w:val="1007"/>
        </w:numPr>
        <w:pStyle w:val="Compact"/>
      </w:pPr>
      <w:r>
        <w:t xml:space="preserve">Un Estado digital, transparente y eficiente</w:t>
      </w:r>
    </w:p>
    <w:p>
      <w:pPr>
        <w:pStyle w:val="FirstParagraph"/>
      </w:pPr>
      <w:r>
        <w:t xml:space="preserve">No se necesita un milagro. Se necesita aritmética, voluntad y constancia. Los tres están disponibles.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Documento creado: Febrero 2026</w:t>
      </w:r>
      <w:r>
        <w:t xml:space="preserve"> </w:t>
      </w:r>
      <w:r>
        <w:rPr>
          <w:i/>
        </w:rPr>
        <w:t xml:space="preserve">Proyecto Argentina Próspera 2027-2031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2026-02-28T18:37:15Z</dcterms:created>
  <dcterms:modified xsi:type="dcterms:W3CDTF">2026-02-28T18:37:15Z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