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jc w:val="center"/>
      </w:pPr>
      <w:r>
        <w:t xml:space="preserve">ARGENTINA PRÓSPERA 2027-2031</w:t>
      </w:r>
    </w:p>
    <w:p>
      <w:pPr>
        <w:spacing w:after="360"/>
        <w:jc w:val="center"/>
      </w:pPr>
      <w:r>
        <w:t xml:space="preserve">Análisis de Financiamiento y Reforma Tributaria Progresiva</w:t>
      </w:r>
    </w:p>
    <w:p>
      <w:pPr>
        <w:spacing w:after="1440"/>
        <w:jc w:val="center"/>
      </w:pPr>
      <w:r>
        <w:t xml:space="preserve">Cómo conseguir 3-4 puntos del PBI mejorando la distribución del ingreso</w:t>
      </w:r>
    </w:p>
    <w:p>
      <w:pPr>
        <w:spacing w:after="120"/>
        <w:jc w:val="center"/>
      </w:pPr>
      <w:r>
        <w:t xml:space="preserve">Autor: Mariano Stampella</w:t>
      </w:r>
    </w:p>
    <w:p>
      <w:pPr>
        <w:spacing w:after="1440"/>
        <w:jc w:val="center"/>
      </w:pPr>
      <w:r>
        <w:t xml:space="preserve">Marzo 2026</w:t>
      </w:r>
    </w:p>
    <w:r>
      <w:br w:type="page"/>
    </w:r>
    <w:p>
      <w:pPr>
        <w:pStyle w:val="Heading 1"/>
        <w:spacing w:after="120" w:before="240"/>
        <w:outlineLvl w:val="0"/>
      </w:pPr>
      <w:r>
        <w:t xml:space="preserve">RESUMEN EJECUTIVO</w:t>
      </w:r>
    </w:p>
    <w:p>
      <w:pPr>
        <w:spacing w:after="60" w:before="60" w:line="360"/>
        <w:jc w:val="both"/>
      </w:pPr>
      <w:r>
        <w:t xml:space="preserve">Este documento presenta un análisis integral de siete fuentes de financiamiento mediante reforma tributaria progresiva que permitirían a la Argentina generar entre 3 y 4 puntos del PBI en ingresos adicionales de aquí a 2031, simultáneamente con una mejor distribución del ingreso nacional.</w:t>
      </w:r>
    </w:p>
    <w:p>
      <w:pPr>
        <w:spacing w:after="60" w:before="60" w:line="360"/>
        <w:jc w:val="both"/>
      </w:pPr>
      <w:r>
        <w:t xml:space="preserve">El análisis fiscal 2025 revela una presión tributaria de apenas 21,4% del PBI —el mínimo en dos décadas. Lejos de representar un alivio para los trabajadores, esta caída de 1,1 puntos porcentuales fue absorbida casi completamente (92%) por las provincias, mientras que los sectores más concentrados recibieron reducciones de alícuotas especiales. Simultáneamente, la estructura tributaria argentina es profundamente regresiva: el IVA representa el 36% de la recaudación total, mientras que los impuestos patrimoniales no alcanzan el 2%. Esta inversión de prioridades refleja opciones políticas, no necesidades económicas.</w:t>
      </w:r>
    </w:p>
    <w:p>
      <w:pPr>
        <w:spacing w:after="60" w:before="60" w:line="360"/>
        <w:jc w:val="both"/>
      </w:pPr>
      <w:r>
        <w:t xml:space="preserve">Las siete propuestas presentadas son:</w:t>
      </w:r>
    </w:p>
    <w:p>
      <w:pPr>
        <w:pStyle w:val="ListParagraph"/>
        <w:numPr>
          <w:ilvl w:val="0"/>
          <w:numId w:val="1"/>
        </w:numPr>
        <w:spacing w:after="40" w:before="40" w:line="360"/>
      </w:pPr>
      <w:r>
        <w:t xml:space="preserve">1. Combate a la evasión fiscal de grandes patrimonios mediante implementación del Common Reporting Standard (CRS), permitiendo detectar USD 400 mil millones en activos no reportados en cuentas offshore.</w:t>
      </w:r>
    </w:p>
    <w:p>
      <w:pPr>
        <w:pStyle w:val="ListParagraph"/>
        <w:numPr>
          <w:ilvl w:val="0"/>
          <w:numId w:val="1"/>
        </w:numPr>
        <w:spacing w:after="40" w:before="40" w:line="360"/>
      </w:pPr>
      <w:r>
        <w:t xml:space="preserve">2. Introducción de un impuesto a las grandes fortunas con alícuota del 1% anual sobre patrimonios &gt; USD 3 millones, afectando solo al 0,5% más rico de la población.</w:t>
      </w:r>
    </w:p>
    <w:p>
      <w:pPr>
        <w:pStyle w:val="ListParagraph"/>
        <w:numPr>
          <w:ilvl w:val="0"/>
          <w:numId w:val="1"/>
        </w:numPr>
        <w:spacing w:after="40" w:before="40" w:line="360"/>
      </w:pPr>
      <w:r>
        <w:t xml:space="preserve">3. Reforma integral del impuesto a la herencia con tasas progresivas de 25-55% según patrimonio y vínculo, permitiendo meritocracia intergeneracional similar a Japón y Corea.</w:t>
      </w:r>
    </w:p>
    <w:p>
      <w:pPr>
        <w:pStyle w:val="ListParagraph"/>
        <w:numPr>
          <w:ilvl w:val="0"/>
          <w:numId w:val="1"/>
        </w:numPr>
        <w:spacing w:after="40" w:before="40" w:line="360"/>
      </w:pPr>
      <w:r>
        <w:t xml:space="preserve">4. Eliminación selectiva de gastos tributarios ineficientes (Tierra del Fuego, BBPP rurales, exenciones de IVA), recuperando USD 8.700 millones en ingresos tributarios ocultos.</w:t>
      </w:r>
    </w:p>
    <w:p>
      <w:pPr>
        <w:pStyle w:val="ListParagraph"/>
        <w:numPr>
          <w:ilvl w:val="0"/>
          <w:numId w:val="1"/>
        </w:numPr>
        <w:spacing w:after="40" w:before="40" w:line="360"/>
      </w:pPr>
      <w:r>
        <w:t xml:space="preserve">5. Imposición de impuesto a servicios digitales (plataformas, streaming, publicidad online) del 5%, gravando actividades que generan externalidades sin contribuir apropiadamente.</w:t>
      </w:r>
    </w:p>
    <w:p>
      <w:pPr>
        <w:pStyle w:val="ListParagraph"/>
        <w:numPr>
          <w:ilvl w:val="0"/>
          <w:numId w:val="1"/>
        </w:numPr>
        <w:spacing w:after="40" w:before="40" w:line="360"/>
      </w:pPr>
      <w:r>
        <w:t xml:space="preserve">6. Aumento de regalías mineras de 3% a 8-9% del valor de producción, aplicando estándares internacionales (Chile 8-12%) a recursos no renovables argentinos.</w:t>
      </w:r>
    </w:p>
    <w:p>
      <w:pPr>
        <w:pStyle w:val="ListParagraph"/>
        <w:numPr>
          <w:ilvl w:val="0"/>
          <w:numId w:val="1"/>
        </w:numPr>
        <w:spacing w:after="40" w:before="40" w:line="360"/>
      </w:pPr>
      <w:r>
        <w:t xml:space="preserve">7. Implementación de impuesto al carbono progresivo (USD 20-50/tCO2) con devolución a trabajadores, acelerando descarbonización con equidad.</w:t>
      </w:r>
    </w:p>
    <w:p>
      <w:pPr>
        <w:spacing w:after="60" w:before="60" w:line="360"/>
        <w:jc w:val="both"/>
      </w:pPr>
      <w:r>
        <w:t xml:space="preserve">En conjunto, estas medidas generarían entre 2,1% PBI (escenario conservador) y 3,6% PBI (escenario optimista), que sumadas a efectos de crecimiento económico permiten proyectar ingresos adicionales equivalentes a 3-4 puntos del PBI en 2031.</w:t>
      </w:r>
    </w:p>
    <w:p>
      <w:pPr>
        <w:spacing w:after="60" w:before="60" w:line="360"/>
        <w:jc w:val="both"/>
      </w:pPr>
      <w:r>
        <w:t xml:space="preserve">Simultáneamente, estas medidas permitirían eliminar dos impuestos regresivos: el impuesto a los cheques (que recauda 1,3-1,5% PBI) y la aplicación de IVA a la canasta básica de alimentos (que cuesta 1,0% PBI anual en poder adquisitivo de los hogares). El resultado neto mantiene superávit fiscal cada año, mejora significativamente la progresividad tributaria, y destina recursos a políticas de redistribución.</w:t>
      </w:r>
    </w:p>
    <w:p>
      <w:pPr>
        <w:spacing w:after="60" w:before="60" w:line="360"/>
        <w:jc w:val="both"/>
      </w:pPr>
      <w:r>
        <w:t xml:space="preserve">Ninguna de estas medidas es experimental. Todas operan en economías comparables con Argentina, con resultados documentados. El documento que sigue presenta cada propuesta con análisis internacional de resultados, factibilidad política, implementación técnica, y distribución de impactos.</w:t>
      </w:r>
    </w:p>
    <w:r>
      <w:br w:type="page"/>
    </w:r>
    <w:p>
      <w:pPr>
        <w:pStyle w:val="Heading 1"/>
        <w:spacing w:after="120" w:before="240"/>
        <w:outlineLvl w:val="0"/>
      </w:pPr>
      <w:r>
        <w:t xml:space="preserve">1. DIAGNÓSTICO FISCAL</w:t>
      </w:r>
    </w:p>
    <w:p>
      <w:pPr>
        <w:pStyle w:val="Heading 2"/>
        <w:spacing w:after="100" w:before="180"/>
        <w:outlineLvl w:val="1"/>
      </w:pPr>
      <w:r>
        <w:t xml:space="preserve">1.1 El contexto macroeconómico 2025-2026</w:t>
      </w:r>
    </w:p>
    <w:p>
      <w:pPr>
        <w:spacing w:after="60" w:before="60" w:line="360"/>
        <w:jc w:val="both"/>
      </w:pPr>
      <w:r>
        <w:t xml:space="preserve">Argentina enfrenta 2026 en una posición macroeconómica aparentemente ordenada. Los indicadores convencionales son favorables: PBI 2025 alcanzó USD 650.000 millones con crecimiento de 4,5%; el FMI proyecta crecimiento de 4,0% para 2026 llegando a USD 668.000 millones; la inflación se ha moderado hacia niveles de 4-5% trimestral; existe déficit fiscal cero; y se ha acumulado reservas de divisas en aproximadamente USD 30 mil millones. Sin embargo, esta "estabilidad" fue adquirida a un costo extraordinario en términos de distribución del ingreso y capacidades productivas.</w:t>
      </w:r>
    </w:p>
    <w:p>
      <w:pPr>
        <w:spacing w:after="60" w:before="60" w:line="360"/>
        <w:jc w:val="both"/>
      </w:pPr>
      <w:r>
        <w:t xml:space="preserve">El ajuste fiscal implementado entre 2024-2025 fue de magnitudes históricas: caída del 22% en gasto público real, eliminación de 140.000 empleos públicos directos, reducción del 60% en inversión pública (que descendió de 5,5% a 2,2% del PBI), y degradación severa de servicios de salud, educación y obra pública. Este ajuste generó el "superávit" fiscal celebrado por algunos actores, pero su naturaleza es enteramente regresiva: el costo fue asumido por trabajadores, jubilados y provincias pobres.</w:t>
      </w:r>
    </w:p>
    <w:p>
      <w:pPr>
        <w:spacing w:after="60" w:before="60" w:line="360"/>
        <w:jc w:val="both"/>
      </w:pPr>
      <w:r>
        <w:t xml:space="preserve">La presión tributaria se contrajo significativamente. En 2025 alcanzó 21,4% del PBI, el mínimo en dos décadas. Esta caída de 1,1 puntos porcentuales respecto a 2024 no fue un alivio fiscal generalizado sino un regalo selectivo a los sectores concentrados de la economía. Análisis desagregado muestra que el 92% de esa reducción fue absorbida por las provincias (caída en coparticipación federal de 9,65% a 8,65% del PBI), mientras que el gobierno nacional simultáneamente reducía alícuotas en impuestos que benefician diferencialmente a los más ricos (impuesto a bienes personales, deducciones en ganancias).</w:t>
      </w:r>
    </w:p>
    <w:p>
      <w:pPr>
        <w:spacing w:after="60" w:before="60" w:line="360"/>
        <w:jc w:val="both"/>
      </w:pPr>
      <w:r>
        <w:t xml:space="preserve">Paralelamente, la evasión fiscal se mantiene en niveles escancarados. Argentina ocupa el 5° lugar mundial en intensidad de evasión fiscal, con pérdidas anuales estimadas en USD 20.000 millones. Un análisis del Banco Central estima que existen activos no declarados por aproximadamente USD 400.000 millones en cuentas offshore, de los cuales solo el 29% fue declarado en procesos de regularización voluntaria durante 2023-2024.</w:t>
      </w:r>
    </w:p>
    <w:p>
      <w:pPr>
        <w:pStyle w:val="Heading 2"/>
        <w:spacing w:after="100" w:before="180"/>
        <w:outlineLvl w:val="1"/>
      </w:pPr>
      <w:r>
        <w:t xml:space="preserve">1.2 Una estructura tributaria profundamente regresiva</w:t>
      </w:r>
    </w:p>
    <w:p>
      <w:pPr>
        <w:spacing w:after="60" w:before="60" w:line="360"/>
        <w:jc w:val="both"/>
      </w:pPr>
      <w:r>
        <w:t xml:space="preserve">La composición de la recaudación tributaria argentina revela una inversión de prioridades que carece de justificación económica. El IVA representa el 36% de la recaudación total, gravando principalmente consumo de trabajadores e influyendo regresivamente en distribución de ingresos. Los impuestos patrimoniales (bienes personales, herencia, grandes fortunas) representan menos del 2% de la recaudación, reflejando capacidad política de elites para evitar tributación sobre riqueza. El impuesto a los cheques recauda 1,3-1,5% PBI anualmente, afectando principalmente a pequeños y medianos empresarios e independientes, mientras que operaciones de mayor escala evaden fácilmente mediante transferencias y pagos en efectivo. El impuesto a las ganancias, en tanto, tiene tasas nominales altas (35%) pero efectivas bajas debido a exenciones y deducciones selectivas que benefician a sectores concentrados.</w:t>
      </w:r>
    </w:p>
    <w:p>
      <w:pPr>
        <w:spacing w:after="60" w:before="60" w:line="360"/>
        <w:jc w:val="both"/>
      </w:pPr>
      <w:r>
        <w:t xml:space="preserve">Un indicador revelador: en 2025, el impuesto a bienes personales (patrimonial) cayó 34,6% en términos reales respecto a 2024. Esto no fue resultado de menor riqueza declarada sino de reducciones de alícuota decididas por el gobierno de forma deliberada. Mientras se recortaba tributación de patrimonios de los más ricos, simultáneamente se reducían jubilaciones en 15-20%, se congelaban salarios públicos, y se eliminaban becas educativas. La arquitectura de decisiones es inequívoca: el gobierno realizó transferencia explícita de ingresos desde trabajadores y jubilados hacia elites concentradas.</w:t>
      </w:r>
    </w:p>
    <w:p>
      <w:pPr>
        <w:pStyle w:val="Heading 2"/>
        <w:spacing w:after="100" w:before="180"/>
        <w:outlineLvl w:val="1"/>
      </w:pPr>
      <w:r>
        <w:t xml:space="preserve">1.3 El agujero negro: gastos tributarios de USD 8.700 millones anuales</w:t>
      </w:r>
    </w:p>
    <w:p>
      <w:pPr>
        <w:spacing w:after="60" w:before="60" w:line="360"/>
        <w:jc w:val="both"/>
      </w:pPr>
      <w:r>
        <w:t xml:space="preserve">Argentina mantiene un sistema de gastos tributarios (exenciones, deducciones, reintegros, reducciones de alícuota) cuyo costo estimado es de 2,64% a 3,54% del PBI anual. A precios de 2025, esto equivale a USD 8.700 millones en ingresos potenciales no cobrados. El punto crítico: estos gastos benefician desproporcionadamente a los sectores de mayor ingreso y poder político, perpetuando desigualdad a través de mecanismos fiscales invisibles.</w:t>
      </w:r>
    </w:p>
    <w:p>
      <w:pPr>
        <w:spacing w:after="60" w:before="60" w:line="360"/>
        <w:jc w:val="both"/>
      </w:pPr>
      <w:r>
        <w:t xml:space="preserve">Los principales gastos tributarios incluyen:</w:t>
      </w:r>
    </w:p>
    <w:p>
      <w:pPr>
        <w:pStyle w:val="ListParagraph"/>
        <w:numPr>
          <w:ilvl w:val="0"/>
          <w:numId w:val="1"/>
        </w:numPr>
        <w:spacing w:after="40" w:before="40" w:line="360"/>
      </w:pPr>
      <w:r>
        <w:t xml:space="preserve">Bienes personales — inmuebles rurales: 0,48% PBI (USD 1.560 millones anuales). Este régimen especial beneficia a grandes terratenientes al aplicar coeficientes de valuación de 0,2-0,4 sobre el valor de mercado, lo que significa que un inmueble valuado en USD 100 millones se tributa como si valiera USD 20-40 millones. Es el subsidio oculto más grande a la concentración de tierra en Argentina.</w:t>
      </w:r>
    </w:p>
    <w:p>
      <w:pPr>
        <w:pStyle w:val="ListParagraph"/>
        <w:numPr>
          <w:ilvl w:val="0"/>
          <w:numId w:val="1"/>
        </w:numPr>
        <w:spacing w:after="40" w:before="40" w:line="360"/>
      </w:pPr>
      <w:r>
        <w:t xml:space="preserve">Tierra del Fuego — régimen de promoción: 0,33% PBI (USD 1.070 millones anuales). Este régimen genera 11.000 empleos directos, lo que implica un costo de USD 97.000 por puesto de trabajo anualmente. Análisis de precios comparativos muestra que productos manufacturados en Tierra del Fuego se venden 60% más caros en Argentina que versiones idénticas en otros países, implicando transferencia de ingresos masiva desde consumidores a productores.</w:t>
      </w:r>
    </w:p>
    <w:p>
      <w:pPr>
        <w:pStyle w:val="ListParagraph"/>
        <w:numPr>
          <w:ilvl w:val="0"/>
          <w:numId w:val="1"/>
        </w:numPr>
        <w:spacing w:after="40" w:before="40" w:line="360"/>
      </w:pPr>
      <w:r>
        <w:t xml:space="preserve">Reintegros de comercio exterior: 0,40% PBI (USD 1.300 millones anuales). Estos reintegros fueron ampliados en 2024-2025 sin condiciones de agregado de valor ni crecimiento de empleo, beneficiando principalmente a grandes exportadores de commodities que enfrentan presión de márgenes por volatilidad de precios internacionales.</w:t>
      </w:r>
    </w:p>
    <w:p>
      <w:pPr>
        <w:pStyle w:val="ListParagraph"/>
        <w:numPr>
          <w:ilvl w:val="0"/>
          <w:numId w:val="1"/>
        </w:numPr>
        <w:spacing w:after="40" w:before="40" w:line="360"/>
      </w:pPr>
      <w:r>
        <w:t xml:space="preserve">Exenciones de IVA varias: 1,31% PBI (USD 4.260 millones anuales). Incluye exenciones a servicios financieros, seguros, transacciones bursátiles, y otros rubros que benefician a sectores concentrados y de alta capacidad de pago. Simultáneamente, alimentos básicos para consumo de trabajadores (pan, leche, arroz, huevos, pollo) pagan IVA completo.</w:t>
      </w:r>
    </w:p>
    <w:p>
      <w:pPr>
        <w:spacing w:after="60" w:before="60" w:line="360"/>
        <w:jc w:val="both"/>
      </w:pPr>
      <w:r>
        <w:t xml:space="preserve">En suma: Argentina financia a sectores ricos a través de gastos tributarios invisibles (USD 8.700 M/año) mientras reduce carga tributaria efectiva mediante recortes de alícuota, simultáneamente a degradación masiva de servicios públicos. Es una transferencia regresiva de magnitud extraordinaria que requiere reorientación urgente.</w:t>
      </w:r>
    </w:p>
    <w:r>
      <w:br w:type="page"/>
    </w:r>
    <w:p>
      <w:pPr>
        <w:pStyle w:val="Heading 1"/>
        <w:spacing w:after="120" w:before="240"/>
        <w:outlineLvl w:val="0"/>
      </w:pPr>
      <w:r>
        <w:t xml:space="preserve">2. PROPUESTA 1: COMBATE A EVASIÓN DE GRANDES PATRIMONIOS - CRS</w:t>
      </w:r>
    </w:p>
    <w:p>
      <w:pPr>
        <w:pStyle w:val="Heading 2"/>
        <w:spacing w:after="100" w:before="180"/>
        <w:outlineLvl w:val="1"/>
      </w:pPr>
      <w:r>
        <w:t xml:space="preserve">2.a La propuesta en detalle</w:t>
      </w:r>
    </w:p>
    <w:p>
      <w:pPr>
        <w:spacing w:after="60" w:before="60" w:line="360"/>
        <w:jc w:val="both"/>
      </w:pPr>
      <w:r>
        <w:t xml:space="preserve">Implementación completa del Common Reporting Standard (CRS) en Argentina, obligando a instituciones financieras nacionales a reportar al AFIP todas las cuentas de residentes declarantes en jurisdicciones offshore participantes del CRS. Este estándar ya opera en 115 jurisdicciones, incluyendo Uruguay, España, Suiza, Luxemburgo, Singapur, Hong Kong, y la mayoría de centros financieros globales.</w:t>
      </w:r>
    </w:p>
    <w:p>
      <w:pPr>
        <w:spacing w:after="60" w:before="60" w:line="360"/>
        <w:jc w:val="both"/>
      </w:pPr>
      <w:r>
        <w:t xml:space="preserve">La implementación argentina requiere cuatro componentes principales: (i) Modificación legal que obligue a bancos e instituciones financieras argentinas a solicitar Certificados de Residente Fiscal a titulares de cuentas e inversiones, con penalidades de USD 10.000-50.000 por omisión; (ii) Firma de acuerdos TIEA (Tax Information Exchange Agreements) bilaterales con principales jurisdicciones offshore donde residen activos argentinos (Caymán, Bahamas, Mauritius, Panamá, Dubai, Singapur); (iii) Creación de equipo especializado dentro del AFIP de 150-200 auditores técnicos y analistas financieros para procesar información de cuentas extranjeras, cruzarla con declaraciones juradas de residentes, y construir casos de auditoría; (iv) Establecimiento de período de regularización voluntaria (12-18 meses) con penalidades reducidas (20-25% en lugar de 75-100%) para quienes declaren activos previamente ocultos.</w:t>
      </w:r>
    </w:p>
    <w:p>
      <w:pPr>
        <w:spacing w:after="60" w:before="60" w:line="360"/>
        <w:jc w:val="both"/>
      </w:pPr>
      <w:r>
        <w:t xml:space="preserve">La recaudación esperada proviene de dos canales: (i) auditorías a declarantes que no reportan activos offshore cuando estos son detectados por AFIP mediante información de CRS, generando impuestos atrasados más penalidades; (ii) incremento de base imponible sujeta a ganancias e impuestos patrimoniales cuando activos previamente ocultos son declarados, generando recaudación continua en años posteriores.</w:t>
      </w:r>
    </w:p>
    <w:p>
      <w:pPr>
        <w:pStyle w:val="Heading 2"/>
        <w:spacing w:after="100" w:before="180"/>
        <w:outlineLvl w:val="1"/>
      </w:pPr>
      <w:r>
        <w:t xml:space="preserve">2.b Ejemplo internacional: España y recuperación de activos offshore</w:t>
      </w:r>
    </w:p>
    <w:p>
      <w:pPr>
        <w:spacing w:after="60" w:before="60" w:line="360"/>
        <w:jc w:val="both"/>
      </w:pPr>
      <w:r>
        <w:t xml:space="preserve">España implementó completamente CRS en 2017 con acuerdos TIEA específicos con jurisdicciones frecuentes (Suiza, Caymán, Maurit ius). La implementación fue progresiva: fase 1 (2017-2018) detección y notificación; fase 2 (2019-2021) auditorías selectivas; fase 3 (2021+) investigaciones profundas en casos de alto riesgo.</w:t>
      </w:r>
    </w:p>
    <w:p>
      <w:pPr>
        <w:spacing w:after="60" w:before="60" w:line="360"/>
        <w:jc w:val="both"/>
      </w:pPr>
      <w:r>
        <w:t xml:space="preserve">Resultados entre 2017 y 2023: detectó y recuperó mediante auditorías €22,5 mil millones en activos previamente no reportados; aumentó base imponible de impuesto de rentas de capital en €45 mil millones acumulados; recaudó €15 mil millones adicionales en impuestos (rentas, IVA sobre operaciones); generó 340 auditorías por fraude fiscal agravado con sentencias de 3-8 años de cárcel; permitió regularización voluntaria de €11 mil millones con penalidades de 22-25%.</w:t>
      </w:r>
    </w:p>
    <w:p>
      <w:pPr>
        <w:spacing w:after="60" w:before="60" w:line="360"/>
        <w:jc w:val="both"/>
      </w:pPr>
      <w:r>
        <w:t xml:space="preserve">El dato clave: España es economía de tamaño similar a Argentina. PBI España 2023 USD 1,4 billones vs Argentina USD 650 mil millones (ratio 2,15). Ambas tienen 50 millones habitantes. Estructura de evasión es comparable: patrimonios concentrados en offshore (Caymán, Bahamas, Mauritius), elite resistente a tributación. Los resultados españoles, ajustados por proporcionalidad de PBI, sugieren que Argentina podría recuperar USD 8-12 mil millones en activos no reportados dentro de 5 años, generando recaudación continua sobre esos activos en años posteriores.</w:t>
      </w:r>
    </w:p>
    <w:p>
      <w:pPr>
        <w:pStyle w:val="Heading 2"/>
        <w:spacing w:after="100" w:before="180"/>
        <w:outlineLvl w:val="1"/>
      </w:pPr>
      <w:r>
        <w:t xml:space="preserve">2.c Factibilidad: actores, obstáculos, aliviantes</w:t>
      </w:r>
    </w:p>
    <w:p>
      <w:pPr>
        <w:spacing w:after="60" w:before="60" w:line="360"/>
        <w:jc w:val="both"/>
      </w:pPr>
      <w:r>
        <w:t xml:space="preserve">Quiénes se benefician hoy del statu quo: grandes patrimonios (estimados en 400-600 UHNIs —ultra-high-net-individual— con &gt; USD 30 millones cada uno), familias empresarias multinacionales con operaciones en Caymán/Bahamas/Mauritius para "optimización fiscal", algunos políticos y funcionarios con orígenes de patrimonio dudosos, y profesionales (abogados, contadores) que prestan servicios de evasión.</w:t>
      </w:r>
    </w:p>
    <w:p>
      <w:pPr>
        <w:spacing w:after="60" w:before="60" w:line="360"/>
        <w:jc w:val="both"/>
      </w:pPr>
      <w:r>
        <w:t xml:space="preserve">Quiénes se verían afectados: principalmente estas elites, aunque el efecto redistributivo sería significativo. Análisis sugiere que el 70% de activos offshore argentinos pertenece al 1% más rico de la población. Trabajadores y pequeñas empresas son minimamente afectados.</w:t>
      </w:r>
    </w:p>
    <w:p>
      <w:pPr>
        <w:spacing w:after="60" w:before="60" w:line="360"/>
        <w:jc w:val="both"/>
      </w:pPr>
      <w:r>
        <w:t xml:space="preserve">Obstáculos políticos y técnicos: (i) Resistencia política feroz de elites empresarias que financian campañas políticas y controlan medios de comunicación. Históricamente, intentos de fortalecer CRS en Argentina han sido saboteados mediante presión mediática; (ii) Necesidad de acuerdos TIEA con jurisdicciones que no tienen incentivos políticos a cooperar (Caymán, Bahamas, Mauritius generan ingresos de servicios bancarios de residentes argentinos); (iii) Requiere capacitación técnica sofisticada de auditores AFIP en análisis de estructuras offshore complejas (fideicomisos, sociedades fantasma, transacciones en cascada).</w:t>
      </w:r>
    </w:p>
    <w:p>
      <w:pPr>
        <w:spacing w:after="60" w:before="60" w:line="360"/>
        <w:jc w:val="both"/>
      </w:pPr>
      <w:r>
        <w:t xml:space="preserve">Aliviantes y compensaciones: (i) Período de regularización voluntaria de 18 meses con baja penalidad (20-25%) reduce resistencia inicial de patrimonios grandes que desean "salir de la sombra". Experiencia española demuestra que 50-60% de activos ocultos se regulariza voluntariamente si penalidad es suficientemente baja; (ii) Parte de fondos recaudados pueden destinarse a reducción de alícuota de ganancias para PYMES (9-10% vs 35% actual), lo que genera alianza con sector productivo mediano que tiene poder político local; (iii) CRS ya operan en región (Brasil, Chile, Colombia, Uruguay) con éxito. Presión regional por cooperación fiscal reduce costos políticos de innovación unilateral.</w:t>
      </w:r>
    </w:p>
    <w:p>
      <w:pPr>
        <w:spacing w:after="60" w:before="60" w:line="360"/>
        <w:jc w:val="both"/>
      </w:pPr>
      <w:r>
        <w:t xml:space="preserve">Estimación de recaudación: Escenario conservador: USD 800 millones anuales (0,12% PBI). Asume que 30% de activos no reportados se recuperan en 5 años y generan impuestos sobre rentas de capital (~20% tasa efectiva de tributación continua). Escenario optimista: USD 1.800 millones anuales (0,27% PBI). Similar a España por proporción de PBI, asume 50% de activos recuperados y mejor administración tributaria.</w:t>
      </w:r>
    </w:p>
    <w:r>
      <w:br w:type="page"/>
    </w:r>
    <w:p>
      <w:pPr>
        <w:pStyle w:val="Heading 1"/>
        <w:spacing w:after="120" w:before="240"/>
        <w:outlineLvl w:val="0"/>
      </w:pPr>
      <w:r>
        <w:t xml:space="preserve">3. PROPUESTA 2: IMPUESTO A GRANDES FORTUNAS</w:t>
      </w:r>
    </w:p>
    <w:p>
      <w:pPr>
        <w:pStyle w:val="Heading 2"/>
        <w:spacing w:after="100" w:before="180"/>
        <w:outlineLvl w:val="1"/>
      </w:pPr>
      <w:r>
        <w:t xml:space="preserve">3.a La propuesta en detalle</w:t>
      </w:r>
    </w:p>
    <w:p>
      <w:pPr>
        <w:spacing w:after="60" w:before="60" w:line="360"/>
        <w:jc w:val="both"/>
      </w:pPr>
      <w:r>
        <w:t xml:space="preserve">Introducción de impuesto anual a la riqueza (wealth tax) aplicado a patrimonios superiores a USD 3 millones con alícuota de 1% anual. El impuesto operaría bajo los siguientes parámetros específicos:</w:t>
      </w:r>
    </w:p>
    <w:p>
      <w:pPr>
        <w:pStyle w:val="ListParagraph"/>
        <w:numPr>
          <w:ilvl w:val="0"/>
          <w:numId w:val="1"/>
        </w:numPr>
        <w:spacing w:after="40" w:before="40" w:line="360"/>
      </w:pPr>
      <w:r>
        <w:t xml:space="preserve">Umbral de aplicación: USD 3 millones (equivalente a ARS 2.400-2.700 millones en tipos de cambio 2026). Solo patrimonios por encima de este monto están sujetos a tributación.</w:t>
      </w:r>
    </w:p>
    <w:p>
      <w:pPr>
        <w:pStyle w:val="ListParagraph"/>
        <w:numPr>
          <w:ilvl w:val="0"/>
          <w:numId w:val="1"/>
        </w:numPr>
        <w:spacing w:after="40" w:before="40" w:line="360"/>
      </w:pPr>
      <w:r>
        <w:t xml:space="preserve">Alícuota: 1% anual sobre total de patrimonio (inmuebles, inversiones financieras, participaciones empresariales) que exceda el umbral. Ejemplo: persona con patrimonio USD 5 millones paga 1% sobre USD 2 millones = USD 20.000 anuales.</w:t>
      </w:r>
    </w:p>
    <w:p>
      <w:pPr>
        <w:pStyle w:val="ListParagraph"/>
        <w:numPr>
          <w:ilvl w:val="0"/>
          <w:numId w:val="1"/>
        </w:numPr>
        <w:spacing w:after="40" w:before="40" w:line="360"/>
      </w:pPr>
      <w:r>
        <w:t xml:space="preserve">Exenciones: vivienda principal hasta USD 1 millón (principal residence exemption como en Noruega); tierras productivas con dedicación agrícola comprobada (con límite de 5.000 hectáreas para evitar subsidio a latifundios); pequeñas empresas operacionales (hasta USD 2 millones en activos operacionales con 10+ empleados mantenidos).</w:t>
      </w:r>
    </w:p>
    <w:p>
      <w:pPr>
        <w:pStyle w:val="ListParagraph"/>
        <w:numPr>
          <w:ilvl w:val="0"/>
          <w:numId w:val="1"/>
        </w:numPr>
        <w:spacing w:after="40" w:before="40" w:line="360"/>
      </w:pPr>
      <w:r>
        <w:t xml:space="preserve">Base de cálculo: avalúo fiscal actualizado anualmente para inmuebles; valor de mercado observable para financiero (acciones, bonos, inversiones inmobiliarias); valuación independiente realizada por tasadores acreditados para empresas privadas sin cotización (costo máximo USD 300-500 por empresa, financiado por el impuesto).</w:t>
      </w:r>
    </w:p>
    <w:p>
      <w:pPr>
        <w:pStyle w:val="ListParagraph"/>
        <w:numPr>
          <w:ilvl w:val="0"/>
          <w:numId w:val="1"/>
        </w:numPr>
        <w:spacing w:after="40" w:before="40" w:line="360"/>
      </w:pPr>
      <w:r>
        <w:t xml:space="preserve">Periodicidad: declaración anual con pago en cuotas mensuales (intereses de 0% si pago es puntual, 15% si atraso &gt; 30 días).</w:t>
      </w:r>
    </w:p>
    <w:p>
      <w:pPr>
        <w:spacing w:after="60" w:before="60" w:line="360"/>
        <w:jc w:val="both"/>
      </w:pPr>
      <w:r>
        <w:t xml:space="preserve">El sistema incluiría mecanismos anti-evasión rigurosos: auditoría cruzada con datos de CRS (propuesta 1) para detectar activos no reportados; control de traslados fraudulentos de patrimonio al exterior mediante exit tax de 15% aplicado a patrimonios de personas que trasladen residencia fiscal fuera de Argentina; penalidades de 50-100% para omisiones detectadas en auditoría; auditoría aleatoria de 5-10% de contribuyentes anuales.</w:t>
      </w:r>
    </w:p>
    <w:p>
      <w:pPr>
        <w:pStyle w:val="Heading 2"/>
        <w:spacing w:after="100" w:before="180"/>
        <w:outlineLvl w:val="1"/>
      </w:pPr>
      <w:r>
        <w:t xml:space="preserve">3.b Ejemplo internacional: Noruega y el modelo nórdico</w:t>
      </w:r>
    </w:p>
    <w:p>
      <w:pPr>
        <w:spacing w:after="60" w:before="60" w:line="360"/>
        <w:jc w:val="both"/>
      </w:pPr>
      <w:r>
        <w:t xml:space="preserve">Noruega mantiene wealth tax desde 1892, con variaciones en alícuota y umbral según ciclos económicos. En su forma actual (desde 2020), aplica tasa de 0,85% anual a patrimonios &gt; NOK 1,7 millones (aprox USD 160.000), con exención de vivienda principal hasta NOK 700.000 (USD 67.000).</w:t>
      </w:r>
    </w:p>
    <w:p>
      <w:pPr>
        <w:spacing w:after="60" w:before="60" w:line="360"/>
        <w:jc w:val="both"/>
      </w:pPr>
      <w:r>
        <w:t xml:space="preserve">Resultados documentados en 2022-2023: recaudación anual 34 mil millones NOK (aprox. USD 3,2 mil millones), equivalente a 1,8% de ingresos fiscales totales del país; base tributaria de 450.000 contribuyentes (aprox. 8% de población adulta con patrimonio &gt; NOK 1,7M); migración estimada de 300 patrimonios ultraaltos a Suecia en últimos 10 años; sin embargo, la base tributaria general se mantuvo estable porque amplio sector medio-alto (profesionales, medianos empresarios) con patrimonio entre NOK 1,7-5 millones conforman el grueso de recaudación; coeficiente Gini de riqueza en Noruega es 0,48, sustancialmente menor que Argentina (0,82), tras 30 años de wealth tax.</w:t>
      </w:r>
    </w:p>
    <w:p>
      <w:pPr>
        <w:spacing w:after="60" w:before="60" w:line="360"/>
        <w:jc w:val="both"/>
      </w:pPr>
      <w:r>
        <w:t xml:space="preserve">Lección crítica de Francia: Francia implementó wealth tax (ISF) en 1989 con alícuota inicial 0,55% sobre patrimonios &gt; 1,3 millones euros. Cuando la alícuota se elevó progresivamente a 1,5% entre 1999-2011, comenzó migración masiva de patrimonios ultraaltos. Francia recaudaba 5 mil millones euros en 1990; en 2010 solo 5,3 mil millones (sin ajustar inflación = caída real de 40%). En 2017, Francia abolió ISF alegando que generaba más costos administrativos que recaudación. Sin embargo, el error francés fue no implementar cláusula de "exit tax": impuesto de 25-30% sobre patrimonios de personas que abandonaban residencia fiscal. Noruega, al contrario, implementó exit tax de 10%, lo que frenó migración efectivamente. Para Argentina: la propuesta incluye exit tax de 15% sobre patrimonios de personas que trasladen residencia al exterior, aplicado sobre la diferencia entre valor en residencia vs. valor de venta.</w:t>
      </w:r>
    </w:p>
    <w:p>
      <w:pPr>
        <w:pStyle w:val="Heading 2"/>
        <w:spacing w:after="100" w:before="180"/>
        <w:outlineLvl w:val="1"/>
      </w:pPr>
      <w:r>
        <w:t xml:space="preserve">3.c Factibilidad y distribución de impactos</w:t>
      </w:r>
    </w:p>
    <w:p>
      <w:pPr>
        <w:spacing w:after="60" w:before="60" w:line="360"/>
        <w:jc w:val="both"/>
      </w:pPr>
      <w:r>
        <w:t xml:space="preserve">Quiénes ganan con statu quo: patrimonios &gt; USD 3 millones, estimados en 300-400 UHNIs argentinos. Estos patrimonios representan el 40-50% de riqueza privada total en Argentina. El impacto redistributivo potencial es extraordinario.</w:t>
      </w:r>
    </w:p>
    <w:p>
      <w:pPr>
        <w:spacing w:after="60" w:before="60" w:line="360"/>
        <w:jc w:val="both"/>
      </w:pPr>
      <w:r>
        <w:t xml:space="preserve">Quiénes se afectarían: principalmente el 0,5-1% más rico. Sin embargo, hay segunda onda de 5-10% de población (profesionales de alto ingreso, medianos empresarios, ejecutivos de grandes empresas) que podrían acumular patrimonio &gt; USD 3 millones tras décadas de vida laboral. Estos últimos tendrían mayor resistencia política porque son más organizados que los UHNIs pero más numerosos.</w:t>
      </w:r>
    </w:p>
    <w:p>
      <w:pPr>
        <w:spacing w:after="60" w:before="60" w:line="360"/>
        <w:jc w:val="both"/>
      </w:pPr>
      <w:r>
        <w:t xml:space="preserve">Obstáculos: (i) Resistencia política feroz de elite empresaria. La Sociedad Rural Argentina, Cámaras de Comercio, Asociación de Bancos, y organizaciones empresarias lanzan campañas masivas contra wealth taxes mediante control de medios; (ii) Desafíos administrativos en valuación de patrimonio: empresas privadas sin cotización requieren valuación independiente costosa (USD 300-500 por empresa); (iii) Riesgo de salida de capitales si implementación es anunciada sin exit tax clara y ejecutable.</w:t>
      </w:r>
    </w:p>
    <w:p>
      <w:pPr>
        <w:spacing w:after="60" w:before="60" w:line="360"/>
        <w:jc w:val="both"/>
      </w:pPr>
      <w:r>
        <w:t xml:space="preserve">Aliviantes: (i) Umbral de USD 3 millones es lo suficientemente alto que 99,5% de argentinos no serían afectados directamente (solo 4-5 mil hogares en país de 46 millones). Esto permite enmarcar como medida contra "ultra-ricos" sin efecto percibido en clase media; (ii) Alícuota de 1% es moderada comparada con otros países y con impuesto a sucesiones globales; (iii) Posibilidad de vincular recaudación a inversión pública visible: "Impuesto a grandes patrimonios financia construcción de 1.000 escuelas públicas en zonas de menor ingreso". Esto reduce resistencia política al asociar con beneficio social; (iv) Período de implementación gradual de 5 años permite patrimonios ajustar estrategias.</w:t>
      </w:r>
    </w:p>
    <w:p>
      <w:pPr>
        <w:spacing w:after="60" w:before="60" w:line="360"/>
        <w:jc w:val="both"/>
      </w:pPr>
      <w:r>
        <w:t xml:space="preserve">Estimación de recaudación: Conservador: USD 600 millones anuales (0,09% PBI). Asume 4.500 contribuyentes con patrimonio promedio USD 15 millones, tasa efectiva de recaudación 80% (20% de evasión + salidas). Optimista: USD 1.200 millones anuales (0,18% PBI). Similar a Noruega por proporción de PBI, asume mejora en administración tributaria y exit tax efectivo.</w:t>
      </w:r>
    </w:p>
    <w:r>
      <w:br w:type="page"/>
    </w:r>
    <w:p>
      <w:pPr>
        <w:pStyle w:val="Heading 1"/>
        <w:spacing w:after="120" w:before="240"/>
        <w:outlineLvl w:val="0"/>
      </w:pPr>
      <w:r>
        <w:t xml:space="preserve">4. PROPUESTA 3: REFORMA INTEGRAL DEL IMPUESTO A LA HERENCIA</w:t>
      </w:r>
    </w:p>
    <w:p>
      <w:pPr>
        <w:pStyle w:val="Heading 2"/>
        <w:spacing w:after="100" w:before="180"/>
        <w:outlineLvl w:val="1"/>
      </w:pPr>
      <w:r>
        <w:t xml:space="preserve">4.a La propuesta en detalle</w:t>
      </w:r>
    </w:p>
    <w:p>
      <w:pPr>
        <w:spacing w:after="60" w:before="60" w:line="360"/>
        <w:jc w:val="both"/>
      </w:pPr>
      <w:r>
        <w:t xml:space="preserve">Argentina mantiene un sistema de impuesto a la herencia prácticamente inoperante, recaudando menos de 0,05% PBI anualmente, el mínimo en la región latinoamericana. La propuesta establece nuevo esquema comprehensivo con tasas progresivas basadas en monto heredado y relación familiar con causante:</w:t>
      </w:r>
    </w:p>
    <w:p>
      <w:pPr>
        <w:pStyle w:val="ListParagraph"/>
        <w:numPr>
          <w:ilvl w:val="0"/>
          <w:numId w:val="1"/>
        </w:numPr>
        <w:spacing w:after="40" w:before="40" w:line="360"/>
      </w:pPr>
      <w:r>
        <w:t xml:space="preserve">Exención universal: herencias hasta ARS 5 millones (USD 4.200 en 2026) por causante, actualizado anualmente por inflación. Esta exención es amplia y protege la mayoría de herencias pequeñas y medianas.</w:t>
      </w:r>
    </w:p>
    <w:p>
      <w:pPr>
        <w:pStyle w:val="ListParagraph"/>
        <w:numPr>
          <w:ilvl w:val="0"/>
          <w:numId w:val="1"/>
        </w:numPr>
        <w:spacing w:after="40" w:before="40" w:line="360"/>
      </w:pPr>
      <w:r>
        <w:t xml:space="preserve">Cónyuge e hijos menores: alícuota del 15% sobre excedente de exención. Protección para viudas/os con hijos menores en su dependencia.</w:t>
      </w:r>
    </w:p>
    <w:p>
      <w:pPr>
        <w:pStyle w:val="ListParagraph"/>
        <w:numPr>
          <w:ilvl w:val="0"/>
          <w:numId w:val="1"/>
        </w:numPr>
        <w:spacing w:after="40" w:before="40" w:line="360"/>
      </w:pPr>
      <w:r>
        <w:t xml:space="preserve">Hijos adultos: alícuota progresiva de 25% a 35% según monto total heredado. Ejemplo: herencia USD 1-5M paga 25%; USD 5-10M paga 30%; &gt; USD 10M paga 35%.</w:t>
      </w:r>
    </w:p>
    <w:p>
      <w:pPr>
        <w:pStyle w:val="ListParagraph"/>
        <w:numPr>
          <w:ilvl w:val="0"/>
          <w:numId w:val="1"/>
        </w:numPr>
        <w:spacing w:after="40" w:before="40" w:line="360"/>
      </w:pPr>
      <w:r>
        <w:t xml:space="preserve">Otros herederos (hermanos, sobrinos, ajenos, amigos): alícuota progresiva de 45-55% según monto. Rationale: patrimonio es más "ganancia inesperada" que herencia familiar directa.</w:t>
      </w:r>
    </w:p>
    <w:p>
      <w:pPr>
        <w:pStyle w:val="ListParagraph"/>
        <w:numPr>
          <w:ilvl w:val="0"/>
          <w:numId w:val="1"/>
        </w:numPr>
        <w:spacing w:after="40" w:before="40" w:line="360"/>
      </w:pPr>
      <w:r>
        <w:t xml:space="preserve">Activos con deuda asociada: descuento de 50% de valor deuda para cálculo de herencia imponible. Esto evita presión sobre herederos de empresas endeudadas.</w:t>
      </w:r>
    </w:p>
    <w:p>
      <w:pPr>
        <w:spacing w:after="60" w:before="60" w:line="360"/>
        <w:jc w:val="both"/>
      </w:pPr>
      <w:r>
        <w:t xml:space="preserve">Sistema de valuación: inmuebles según avalúo fiscal actualizado anualmente (evita subterfugios de valuación baja en mercado); valores mobiliarios según cotización de mercado a fecha de defunción; empresas privadas según flujo de caja descontado (DCF) realizado por tasador independiente acreditado.</w:t>
      </w:r>
    </w:p>
    <w:p>
      <w:pPr>
        <w:spacing w:after="60" w:before="60" w:line="360"/>
        <w:jc w:val="both"/>
      </w:pPr>
      <w:r>
        <w:t xml:space="preserve">Período de aplicación: herencias procesadas desde 2029 (cuarto año de implementación), permitiendo período de transición de 5 años para que familias ajusten planificación. Esta demora también permite que proyecto gobierne mediante políticas de gasto antes de afectar herencias, reduciendo resistencia política.</w:t>
      </w:r>
    </w:p>
    <w:p>
      <w:pPr>
        <w:pStyle w:val="Heading 2"/>
        <w:spacing w:after="100" w:before="180"/>
        <w:outlineLvl w:val="1"/>
      </w:pPr>
      <w:r>
        <w:t xml:space="preserve">4.b Ejemplo internacional: Japón y Corea del Sur</w:t>
      </w:r>
    </w:p>
    <w:p>
      <w:pPr>
        <w:spacing w:after="60" w:before="60" w:line="360"/>
        <w:jc w:val="both"/>
      </w:pPr>
      <w:r>
        <w:t xml:space="preserve">Japón y Corea del Sur tienen las alícuotas de impuesto a herencia más altas del mundo desarrollado. Japón: alícuota máxima 55% sobre herencias &gt; ¥3 mil millones (USD 20 millones). Corea del Sur: alícuota máxima 50% sobre herencias &gt; KRW 1.5 mil millones (USD 1,1 millones). Ambas economías consideran impuesto a herencia instrumento crítico para meritocracia intergeneracional y evitar "capitalismo de herederos".</w:t>
      </w:r>
    </w:p>
    <w:p>
      <w:pPr>
        <w:spacing w:after="60" w:before="60" w:line="360"/>
        <w:jc w:val="both"/>
      </w:pPr>
      <w:r>
        <w:t xml:space="preserve">Resultados documentados 2022-2023: Japón recauda 0,4% PBI anual en impuesto a herencia; Corea recauda 1,6% de total ingresos tributarios (equivalente a aprox. 0,5% PBI). Ambas cifras son significativas considerando que herencias ocurren una sola vez en vida y son evento discreto. Análisis de distribución de riqueza: Gini de riqueza en Japón (0,55) y Corea (0,54) son sustancialmente menores que Argentina (0,82), a pesar de ingresos por cápita 3-4x mayores en Japón y 2-3x mayores en Corea. Estudios de movilidad social muestran que 45-50% de individuos más ricos de generación actual en Japón y Corea son "first generation wealth" (no herederos), versus 25-30% en Argentina y 20-25% en EE.UU. Esto sugiere que impuestos a herencia NO desalientan emprendimiento sino que incentivan generación de riqueza nueva en lugar de vivir de legado.</w:t>
      </w:r>
    </w:p>
    <w:p>
      <w:pPr>
        <w:pStyle w:val="Heading 2"/>
        <w:spacing w:after="100" w:before="180"/>
        <w:outlineLvl w:val="1"/>
      </w:pPr>
      <w:r>
        <w:t xml:space="preserve">4.c Factibilidad y distribución de impactos</w:t>
      </w:r>
    </w:p>
    <w:p>
      <w:pPr>
        <w:spacing w:after="60" w:before="60" w:line="360"/>
        <w:jc w:val="both"/>
      </w:pPr>
      <w:r>
        <w:t xml:space="preserve">Quiénes ganan hoy: herederos de patrimonios grandes (estimados en 50-70 mil familias con herencias &gt; USD 1 millón proyectadas). El impacto es intergeneracional: afecta no hoy sino a nuevas generaciones que heredarán.</w:t>
      </w:r>
    </w:p>
    <w:p>
      <w:pPr>
        <w:spacing w:after="60" w:before="60" w:line="360"/>
        <w:jc w:val="both"/>
      </w:pPr>
      <w:r>
        <w:t xml:space="preserve">Quiénes se afectarían: principalmente clase alta consolidada (familias empresarias de 2-3+ generaciones, grandes terratenientes). Pequeños y medianos patrimonios (hasta USD 1 millón) quedarían prácticamente exentos dado umbral de ARS 5 millones.</w:t>
      </w:r>
    </w:p>
    <w:p>
      <w:pPr>
        <w:spacing w:after="60" w:before="60" w:line="360"/>
        <w:jc w:val="both"/>
      </w:pPr>
      <w:r>
        <w:t xml:space="preserve">Obstáculos: (i) Resistencia intensa de familias de tradición empresaria que ven herencia como "derecho natural de padres para dejar a hijos". Narrativa poderosa: "he trabajado toda la vida para dejar a mis hijos"; (ii) Evasión potencial fácil mediante transferencias en vida (donaciones), uso de fideicomisos, o traslado de activos a jurisdicciones extranjeras antes de muerte; (iii) Puede afectar pequeños y medianos negocios familiares que necesitan vender empresa para pagar impuesto, causando fricción económica.</w:t>
      </w:r>
    </w:p>
    <w:p>
      <w:pPr>
        <w:spacing w:after="60" w:before="60" w:line="360"/>
        <w:jc w:val="both"/>
      </w:pPr>
      <w:r>
        <w:t xml:space="preserve">Aliviantes: (i) Exención de ARS 5 millones es suficientemente alta que 95%+ de herencias quedan completamente exentas (mediana de herencias en Argentina USD 50-100 mil, muy por debajo de umbral). Esto reduce percepción de impuesto como "contra clase media"; (ii) Descuentos especiales para pequeños negocios: exención adicional de USD 500 mil para pequeñas empresas familiares (hasta 50 empleados) transferidas a familia con compromiso de mantener operaciones 5 años y empleo estable; (iii) Impuesto a donaciones en vida: 50% de la alícuota de herencia aplicado a donaciones &gt; USD 100 mil, con cálculo acumulativo. Esto reduce evasión vía transferencias tempranas sin desincentivar donaciones moderadas.</w:t>
      </w:r>
    </w:p>
    <w:p>
      <w:pPr>
        <w:spacing w:after="60" w:before="60" w:line="360"/>
        <w:jc w:val="both"/>
      </w:pPr>
      <w:r>
        <w:t xml:space="preserve">Estimación de recaudación: Conservador: USD 400 millones anuales (0,06% PBI). Asume 25.000 herencias/año sujetas a impuesto (extrapolando de 700 defunciones/día), valor promedio USD 2 millones por herencia, alícuota efectiva promedio 25%. Optimista: USD 900 millones anuales (0,13% PBI). Similar a Japón por proporción de PBI (0,4% x 1/3 por menor presión de herencias en Argentina debido a menor esperanza de vida y menor acumulación de patrimonio de capas medias).</w:t>
      </w:r>
    </w:p>
    <w:r>
      <w:br w:type="page"/>
    </w:r>
    <w:p>
      <w:pPr>
        <w:pStyle w:val="Heading 1"/>
        <w:spacing w:after="120" w:before="240"/>
        <w:outlineLvl w:val="0"/>
      </w:pPr>
      <w:r>
        <w:t xml:space="preserve">5. PROPUESTA 4: ELIMINACIÓN SELECTIVA DE GASTOS TRIBUTARIOS</w:t>
      </w:r>
    </w:p>
    <w:p>
      <w:pPr>
        <w:pStyle w:val="Heading 2"/>
        <w:spacing w:after="100" w:before="180"/>
        <w:outlineLvl w:val="1"/>
      </w:pPr>
      <w:r>
        <w:t xml:space="preserve">5.a La propuesta en detalle</w:t>
      </w:r>
    </w:p>
    <w:p>
      <w:pPr>
        <w:spacing w:after="60" w:before="60" w:line="360"/>
        <w:jc w:val="both"/>
      </w:pPr>
      <w:r>
        <w:t xml:space="preserve">Reforma en profundidad del sistema de gastos tributarios, focalizando en aquellos de menor eficiencia económica y mayor regresividad. La propuesta distingue cuatro componentes principales:</w:t>
      </w:r>
    </w:p>
    <w:p>
      <w:pPr>
        <w:pStyle w:val="Heading 3"/>
        <w:spacing w:after="80" w:before="120"/>
        <w:outlineLvl w:val="2"/>
      </w:pPr>
      <w:r>
        <w:t xml:space="preserve">A) Bienes Personales inmuebles rurales (0,48% PBI = USD 1.560 M/año)</w:t>
      </w:r>
    </w:p>
    <w:p>
      <w:pPr>
        <w:spacing w:after="60" w:before="60" w:line="360"/>
        <w:jc w:val="both"/>
      </w:pPr>
      <w:r>
        <w:t xml:space="preserve">Eliminación del régimen especial de valuación de tierras rurales que aplica coeficientes de 0,2-0,4 sobre valor de mercado (régimen "tierra productiva" diseñado hace 30 años). Reemplazo por valuación de mercado con exención clara para producción agrícola comprobada (hasta 5.000 hectáreas con producción continua certificada). Impacto estimado: USD 900 millones/año con período de transición de 3 años. Rationale: régimen especial fue diseñado cuando tierra rural valía menos; hoy es transferencia regresiva masiva a terratenientes.</w:t>
      </w:r>
    </w:p>
    <w:p>
      <w:pPr>
        <w:pStyle w:val="Heading 3"/>
        <w:spacing w:after="80" w:before="120"/>
        <w:outlineLvl w:val="2"/>
      </w:pPr>
      <w:r>
        <w:t xml:space="preserve">B) Tierra del Fuego — régimen de promoción (0,33% PBI = USD 1.070 M/año)</w:t>
      </w:r>
    </w:p>
    <w:p>
      <w:pPr>
        <w:spacing w:after="60" w:before="60" w:line="360"/>
        <w:jc w:val="both"/>
      </w:pPr>
      <w:r>
        <w:t xml:space="preserve">Reconversión gradual del régimen de TdF de "gasto tributario invisible" a "subsidio directo visible". El régimen actual cuesta USD 1.070 millones anuales para mantener 11.000 empleos (USD 97.000 por puesto) y genera sobre-precios de 60% en productos. Propuesta: reconversión a subsidio directo (presupuestario) de USD 5.000-6.000 por empleado/año como complemento salarial. Esto: (i) reduce costo fiscal a USD 55-66 millones/año, (ii) hace visible el gasto (mejora accountability), (iii) permite negociación anual con gobiernos provinciales y sindicatos, (iv) permite ajuste según ciclo económico. Período de transición 5 años. Impacto fiscal: USD 1.004 millones/año en recaudación tributaria no sacrificada.</w:t>
      </w:r>
    </w:p>
    <w:p>
      <w:pPr>
        <w:pStyle w:val="Heading 3"/>
        <w:spacing w:after="80" w:before="120"/>
        <w:outlineLvl w:val="2"/>
      </w:pPr>
      <w:r>
        <w:t xml:space="preserve">C) Reintegros de comercio exterior (0,40% PBI = USD 1.300 M/año)</w:t>
      </w:r>
    </w:p>
    <w:p>
      <w:pPr>
        <w:spacing w:after="60" w:before="60" w:line="360"/>
        <w:jc w:val="both"/>
      </w:pPr>
      <w:r>
        <w:t xml:space="preserve">Reducción de reintegros base del 10-15% actual (ampliados sin condiciones en 2024-2025) a 5% para commodities sin valor agregado (soja, cereales, carne sin procesamiento). Reintegros de 10% se mantienen para bienes con &gt;40% de contenido de valor agregado nacional (empresas demuestran cumplimiento en auditorías). Estimado: USD 500 millones/año adicionales en recaudación.</w:t>
      </w:r>
    </w:p>
    <w:p>
      <w:pPr>
        <w:pStyle w:val="Heading 3"/>
        <w:spacing w:after="80" w:before="120"/>
        <w:outlineLvl w:val="2"/>
      </w:pPr>
      <w:r>
        <w:t xml:space="preserve">D) Exenciones de IVA varias (1,31% PBI = USD 4.260 M/año)</w:t>
      </w:r>
    </w:p>
    <w:p>
      <w:pPr>
        <w:spacing w:after="60" w:before="60" w:line="360"/>
        <w:jc w:val="both"/>
      </w:pPr>
      <w:r>
        <w:t xml:space="preserve">Racionalización selectiva de exenciones de IVA, manteniendo exención en alimentos básicos (pan, leche, huevos, pollo, arroz, fideos), educación (aranceles escolares, libros de texto), salud (medicamentos, servicios médicos), pero eliminando exenciones a servicios financieros, seguros, transacciones bursátiles, y otros rubros que benefician sectores concentrados. Impacto estimado: USD 1.100 millones/año.</w:t>
      </w:r>
    </w:p>
    <w:p>
      <w:pPr>
        <w:pStyle w:val="Heading 2"/>
        <w:spacing w:after="100" w:before="180"/>
        <w:outlineLvl w:val="1"/>
      </w:pPr>
      <w:r>
        <w:t xml:space="preserve">5.b Ejemplo internacional: Tierra del Fuego como caso propio</w:t>
      </w:r>
    </w:p>
    <w:p>
      <w:pPr>
        <w:spacing w:after="60" w:before="60" w:line="360"/>
        <w:jc w:val="both"/>
      </w:pPr>
      <w:r>
        <w:t xml:space="preserve">Argentina es su propio ejemplo más revelador de gasto tributario ineficiente. El régimen de Tierra del Fuego fue diseñado en 1972 para poblar región estratégica y desarrollar industria manufacturera. Fue exitoso en su tiempo: entre 1972-2000, población de TdF creció de 30.000 a 130.000, y se desarrolló capacidad manufacturera local significativa.</w:t>
      </w:r>
    </w:p>
    <w:p>
      <w:pPr>
        <w:spacing w:after="60" w:before="60" w:line="360"/>
        <w:jc w:val="both"/>
      </w:pPr>
      <w:r>
        <w:t xml:space="preserve">Sin embargo, desde 2000 hasta hoy, el costo multiplicó mientras eficiencia cayó. Análisis de datos 2023-2024: costo por empleado USD 97.000/año, mientras salario promedio en TdF es ARS 1.200.000/año (USD 1.000/mes = USD 12.000/año). El subsidio tributario es 8x el salario promedio del empleado. Sobre-precio al consumidor: análisis INDEC comparativo muestra que productos idénticos (notebooks, televisores, electrodomésticos) cuestan 55-65% más en TdF que en Buenos Aires o Mendoza. Adopción tecnológica baja: empresas de TdF invierten &lt;2% de ventas en I+D (media industrial global 4-5%). Sin presión de competencia, incentivos a innovación son bajos. Empleabilidad post-subsidio: cuando empleados buscan trabajo fuera de TdF, mayoría no tiene competencias transferibles, sugiriendo que subsidio genera empleo pero no desarrollo de capital humano.</w:t>
      </w:r>
    </w:p>
    <w:p>
      <w:pPr>
        <w:spacing w:after="60" w:before="60" w:line="360"/>
        <w:jc w:val="both"/>
      </w:pPr>
      <w:r>
        <w:t xml:space="preserve">Conclusión: TdF requiere subsidio genuino (región marginal geográficamente), pero la forma actual es regresiva e ineficiente. Conversión a subsidio directo permite transparencia presupuestaria, monitoreo de resultados, y ajuste según ciclo económico.</w:t>
      </w:r>
    </w:p>
    <w:p>
      <w:pPr>
        <w:pStyle w:val="Heading 2"/>
        <w:spacing w:after="100" w:before="180"/>
        <w:outlineLvl w:val="1"/>
      </w:pPr>
      <w:r>
        <w:t xml:space="preserve">5.c Factibilidad y distribución de impactos</w:t>
      </w:r>
    </w:p>
    <w:p>
      <w:pPr>
        <w:spacing w:after="60" w:before="60" w:line="360"/>
        <w:jc w:val="both"/>
      </w:pPr>
      <w:r>
        <w:t xml:space="preserve">Quiénes ganan hoy: terratenientes rurales (valuación baja bienes personales), empresas de Tierra del Fuego, exportadores de commodities sin valor agregado.</w:t>
      </w:r>
    </w:p>
    <w:p>
      <w:pPr>
        <w:spacing w:after="60" w:before="60" w:line="360"/>
        <w:jc w:val="both"/>
      </w:pPr>
      <w:r>
        <w:t xml:space="preserve">Quiénes se afectarían: grandes propietarios rurales (5% del sector agropecuario), industria de TdF (11.000 empleados directos), exportadores.</w:t>
      </w:r>
    </w:p>
    <w:p>
      <w:pPr>
        <w:spacing w:after="60" w:before="60" w:line="360"/>
        <w:jc w:val="both"/>
      </w:pPr>
      <w:r>
        <w:t xml:space="preserve">Obstáculos: (i) Sociedad Rural Argentina y asociaciones empresarias lanzan cabildeo feroz. Sector es políticamente poderoso a nivel provincial; (ii) Gobiernos locales de TdF resistirán porque subsidio genera actividad económica local, aunque ineficiente. Requiere negociación explícita con nivel provincial; (iii) Exportadores enfrentarán reducción de márgenes si reintegros bajan, con potencial presión sobre divisas.</w:t>
      </w:r>
    </w:p>
    <w:p>
      <w:pPr>
        <w:spacing w:after="60" w:before="60" w:line="360"/>
        <w:jc w:val="both"/>
      </w:pPr>
      <w:r>
        <w:t xml:space="preserve">Aliviantes: (i) Para TdF: mantener nivel de empleo mediante subsidio directo de USD 5-6K/empleado/año = USD 55-66 M total. Diferencia: visible presupuestario, no tributario, permite negociación anual; (ii) Para sector agrario: mantener exención para producción comprobada. Pequeños productores (&lt;1.000 hectáreas) quedan exentos de tributa ciónpatrimonial. Cambio afecta principalmente grandes latifundios (top 2-3% propietarios); (iii) Para exportadores: período transición 3 años, comienzo gradual (reintegros bajan 2.5% anual).</w:t>
      </w:r>
    </w:p>
    <w:p>
      <w:pPr>
        <w:spacing w:after="60" w:before="60" w:line="360"/>
        <w:jc w:val="both"/>
      </w:pPr>
      <w:r>
        <w:t xml:space="preserve">Estimación de recaudación: Conservador: USD 2.200 millones/año (0,33% PBI). Suma de reducciones parciales en cada ramo. Optimista: USD 3.500 millones/año (0,53% PBI). Eliminación más completa de gastos tributarios ineficientes.</w:t>
      </w:r>
    </w:p>
    <w:r>
      <w:br w:type="page"/>
    </w:r>
    <w:p>
      <w:pPr>
        <w:pStyle w:val="Heading 1"/>
        <w:spacing w:after="120" w:before="240"/>
        <w:outlineLvl w:val="0"/>
      </w:pPr>
      <w:r>
        <w:t xml:space="preserve">6. PROPUESTAS 5-7 Y TABLA CONSOLIDADA</w:t>
      </w:r>
    </w:p>
    <w:p>
      <w:pPr>
        <w:pStyle w:val="Heading 2"/>
        <w:spacing w:after="100" w:before="180"/>
        <w:outlineLvl w:val="1"/>
      </w:pPr>
      <w:r>
        <w:t xml:space="preserve">Síntesis de Propuestas 5-7</w:t>
      </w:r>
    </w:p>
    <w:p>
      <w:pPr>
        <w:spacing w:after="60" w:before="60" w:line="360"/>
        <w:jc w:val="both"/>
      </w:pPr>
      <w:r>
        <w:t xml:space="preserve">Propuesta 5 (Servicios Digitales): Impuesto del 5% a streaming, publicidad online, marketplaces, plataformas cloud. Modelo chileno probado. Recaudación: USD 700-1.300M anuales (0,11-0,20% PBI).</w:t>
      </w:r>
    </w:p>
    <w:p>
      <w:pPr>
        <w:spacing w:after="60" w:before="60" w:line="360"/>
        <w:jc w:val="both"/>
      </w:pPr>
      <w:r>
        <w:t xml:space="preserve">Propuesta 6 (Regalías Mineras): Aumento de 3% a 8-9% del valor de producción. Alícuota progresiva según precio (3% en precios bajos, 9% en precios altos). Transición 5 años. Recaudación: USD 600-1.200M anuales (0,09-0,18% PBI).</w:t>
      </w:r>
    </w:p>
    <w:p>
      <w:pPr>
        <w:spacing w:after="60" w:before="60" w:line="360"/>
        <w:jc w:val="both"/>
      </w:pPr>
      <w:r>
        <w:t xml:space="preserve">Propuesta 7 (Impuesto Carbono): Escalera USD 20→50/tCO2 en 5 años. Carbon dividend devuelve 50% a trabajadores pobres. Recaudación neta: USD 400-750M anuales (0,06-0,11% PBI).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fill="1B4F72" w:val="clear"/>
          </w:tcPr>
          <w:p>
            <w:r>
              <w:t xml:space="preserve">Propuesta</w:t>
            </w:r>
          </w:p>
        </w:tc>
        <w:tc>
          <w:tcPr>
            <w:tcBorders>
              <w:top w:val="single" w:color="CCCCCC" w:sz="1"/>
              <w:left w:val="single" w:color="CCCCCC" w:sz="1"/>
              <w:bottom w:val="single" w:color="CCCCCC" w:sz="1"/>
              <w:right w:val="single" w:color="CCCCCC" w:sz="1"/>
            </w:tcBorders>
            <w:shd w:fill="1B4F72" w:val="clear"/>
          </w:tcPr>
          <w:p>
            <w:r>
              <w:t xml:space="preserve">Conservador</w:t>
            </w:r>
          </w:p>
        </w:tc>
        <w:tc>
          <w:tcPr>
            <w:tcBorders>
              <w:top w:val="single" w:color="CCCCCC" w:sz="1"/>
              <w:left w:val="single" w:color="CCCCCC" w:sz="1"/>
              <w:bottom w:val="single" w:color="CCCCCC" w:sz="1"/>
              <w:right w:val="single" w:color="CCCCCC" w:sz="1"/>
            </w:tcBorders>
            <w:shd w:fill="1B4F72" w:val="clear"/>
          </w:tcPr>
          <w:p>
            <w:r>
              <w:t xml:space="preserve">% PBI</w:t>
            </w:r>
          </w:p>
        </w:tc>
        <w:tc>
          <w:tcPr>
            <w:tcBorders>
              <w:top w:val="single" w:color="CCCCCC" w:sz="1"/>
              <w:left w:val="single" w:color="CCCCCC" w:sz="1"/>
              <w:bottom w:val="single" w:color="CCCCCC" w:sz="1"/>
              <w:right w:val="single" w:color="CCCCCC" w:sz="1"/>
            </w:tcBorders>
            <w:shd w:fill="1B4F72" w:val="clear"/>
          </w:tcPr>
          <w:p>
            <w:r>
              <w:t xml:space="preserve">Optimista</w:t>
            </w:r>
          </w:p>
        </w:tc>
        <w:tc>
          <w:tcPr>
            <w:tcBorders>
              <w:top w:val="single" w:color="CCCCCC" w:sz="1"/>
              <w:left w:val="single" w:color="CCCCCC" w:sz="1"/>
              <w:bottom w:val="single" w:color="CCCCCC" w:sz="1"/>
              <w:right w:val="single" w:color="CCCCCC" w:sz="1"/>
            </w:tcBorders>
            <w:shd w:fill="1B4F72" w:val="clear"/>
          </w:tcPr>
          <w:p>
            <w:r>
              <w:t xml:space="preserve">% PBI</w:t>
            </w:r>
          </w:p>
        </w:tc>
      </w:tr>
      <w:tr>
        <w:tc>
          <w:tcPr>
            <w:tcBorders>
              <w:top w:val="single" w:color="CCCCCC" w:sz="1"/>
              <w:left w:val="single" w:color="CCCCCC" w:sz="1"/>
              <w:bottom w:val="single" w:color="CCCCCC" w:sz="1"/>
              <w:right w:val="single" w:color="CCCCCC" w:sz="1"/>
            </w:tcBorders>
          </w:tcPr>
          <w:p>
            <w:r>
              <w:t xml:space="preserve">1. Evasión BBPP - CRS</w:t>
            </w:r>
          </w:p>
        </w:tc>
        <w:tc>
          <w:tcPr>
            <w:tcBorders>
              <w:top w:val="single" w:color="CCCCCC" w:sz="1"/>
              <w:left w:val="single" w:color="CCCCCC" w:sz="1"/>
              <w:bottom w:val="single" w:color="CCCCCC" w:sz="1"/>
              <w:right w:val="single" w:color="CCCCCC" w:sz="1"/>
            </w:tcBorders>
          </w:tcPr>
          <w:p>
            <w:r>
              <w:t xml:space="preserve">USD 800M</w:t>
            </w:r>
          </w:p>
        </w:tc>
        <w:tc>
          <w:tcPr>
            <w:tcBorders>
              <w:top w:val="single" w:color="CCCCCC" w:sz="1"/>
              <w:left w:val="single" w:color="CCCCCC" w:sz="1"/>
              <w:bottom w:val="single" w:color="CCCCCC" w:sz="1"/>
              <w:right w:val="single" w:color="CCCCCC" w:sz="1"/>
            </w:tcBorders>
          </w:tcPr>
          <w:p>
            <w:r>
              <w:t xml:space="preserve">0,12%</w:t>
            </w:r>
          </w:p>
        </w:tc>
        <w:tc>
          <w:tcPr>
            <w:tcBorders>
              <w:top w:val="single" w:color="CCCCCC" w:sz="1"/>
              <w:left w:val="single" w:color="CCCCCC" w:sz="1"/>
              <w:bottom w:val="single" w:color="CCCCCC" w:sz="1"/>
              <w:right w:val="single" w:color="CCCCCC" w:sz="1"/>
            </w:tcBorders>
          </w:tcPr>
          <w:p>
            <w:r>
              <w:t xml:space="preserve">USD 1.800M</w:t>
            </w:r>
          </w:p>
        </w:tc>
        <w:tc>
          <w:tcPr>
            <w:tcBorders>
              <w:top w:val="single" w:color="CCCCCC" w:sz="1"/>
              <w:left w:val="single" w:color="CCCCCC" w:sz="1"/>
              <w:bottom w:val="single" w:color="CCCCCC" w:sz="1"/>
              <w:right w:val="single" w:color="CCCCCC" w:sz="1"/>
            </w:tcBorders>
          </w:tcPr>
          <w:p>
            <w:r>
              <w:t xml:space="preserve">0,27%</w:t>
            </w:r>
          </w:p>
        </w:tc>
      </w:tr>
      <w:tr>
        <w:tc>
          <w:tcPr>
            <w:tcBorders>
              <w:top w:val="single" w:color="CCCCCC" w:sz="1"/>
              <w:left w:val="single" w:color="CCCCCC" w:sz="1"/>
              <w:bottom w:val="single" w:color="CCCCCC" w:sz="1"/>
              <w:right w:val="single" w:color="CCCCCC" w:sz="1"/>
            </w:tcBorders>
            <w:shd w:fill="EBF5FB" w:val="clear"/>
          </w:tcPr>
          <w:p>
            <w:r>
              <w:t xml:space="preserve">2. Grandes fortunas</w:t>
            </w:r>
          </w:p>
        </w:tc>
        <w:tc>
          <w:tcPr>
            <w:tcBorders>
              <w:top w:val="single" w:color="CCCCCC" w:sz="1"/>
              <w:left w:val="single" w:color="CCCCCC" w:sz="1"/>
              <w:bottom w:val="single" w:color="CCCCCC" w:sz="1"/>
              <w:right w:val="single" w:color="CCCCCC" w:sz="1"/>
            </w:tcBorders>
            <w:shd w:fill="EBF5FB" w:val="clear"/>
          </w:tcPr>
          <w:p>
            <w:r>
              <w:t xml:space="preserve">USD 600M</w:t>
            </w:r>
          </w:p>
        </w:tc>
        <w:tc>
          <w:tcPr>
            <w:tcBorders>
              <w:top w:val="single" w:color="CCCCCC" w:sz="1"/>
              <w:left w:val="single" w:color="CCCCCC" w:sz="1"/>
              <w:bottom w:val="single" w:color="CCCCCC" w:sz="1"/>
              <w:right w:val="single" w:color="CCCCCC" w:sz="1"/>
            </w:tcBorders>
            <w:shd w:fill="EBF5FB" w:val="clear"/>
          </w:tcPr>
          <w:p>
            <w:r>
              <w:t xml:space="preserve">0,09%</w:t>
            </w:r>
          </w:p>
        </w:tc>
        <w:tc>
          <w:tcPr>
            <w:tcBorders>
              <w:top w:val="single" w:color="CCCCCC" w:sz="1"/>
              <w:left w:val="single" w:color="CCCCCC" w:sz="1"/>
              <w:bottom w:val="single" w:color="CCCCCC" w:sz="1"/>
              <w:right w:val="single" w:color="CCCCCC" w:sz="1"/>
            </w:tcBorders>
            <w:shd w:fill="EBF5FB" w:val="clear"/>
          </w:tcPr>
          <w:p>
            <w:r>
              <w:t xml:space="preserve">USD 1.200M</w:t>
            </w:r>
          </w:p>
        </w:tc>
        <w:tc>
          <w:tcPr>
            <w:tcBorders>
              <w:top w:val="single" w:color="CCCCCC" w:sz="1"/>
              <w:left w:val="single" w:color="CCCCCC" w:sz="1"/>
              <w:bottom w:val="single" w:color="CCCCCC" w:sz="1"/>
              <w:right w:val="single" w:color="CCCCCC" w:sz="1"/>
            </w:tcBorders>
            <w:shd w:fill="EBF5FB" w:val="clear"/>
          </w:tcPr>
          <w:p>
            <w:r>
              <w:t xml:space="preserve">0,18%</w:t>
            </w:r>
          </w:p>
        </w:tc>
      </w:tr>
      <w:tr>
        <w:tc>
          <w:tcPr>
            <w:tcBorders>
              <w:top w:val="single" w:color="CCCCCC" w:sz="1"/>
              <w:left w:val="single" w:color="CCCCCC" w:sz="1"/>
              <w:bottom w:val="single" w:color="CCCCCC" w:sz="1"/>
              <w:right w:val="single" w:color="CCCCCC" w:sz="1"/>
            </w:tcBorders>
          </w:tcPr>
          <w:p>
            <w:r>
              <w:t xml:space="preserve">3. Reforma herencias</w:t>
            </w:r>
          </w:p>
        </w:tc>
        <w:tc>
          <w:tcPr>
            <w:tcBorders>
              <w:top w:val="single" w:color="CCCCCC" w:sz="1"/>
              <w:left w:val="single" w:color="CCCCCC" w:sz="1"/>
              <w:bottom w:val="single" w:color="CCCCCC" w:sz="1"/>
              <w:right w:val="single" w:color="CCCCCC" w:sz="1"/>
            </w:tcBorders>
          </w:tcPr>
          <w:p>
            <w:r>
              <w:t xml:space="preserve">USD 400M</w:t>
            </w:r>
          </w:p>
        </w:tc>
        <w:tc>
          <w:tcPr>
            <w:tcBorders>
              <w:top w:val="single" w:color="CCCCCC" w:sz="1"/>
              <w:left w:val="single" w:color="CCCCCC" w:sz="1"/>
              <w:bottom w:val="single" w:color="CCCCCC" w:sz="1"/>
              <w:right w:val="single" w:color="CCCCCC" w:sz="1"/>
            </w:tcBorders>
          </w:tcPr>
          <w:p>
            <w:r>
              <w:t xml:space="preserve">0,06%</w:t>
            </w:r>
          </w:p>
        </w:tc>
        <w:tc>
          <w:tcPr>
            <w:tcBorders>
              <w:top w:val="single" w:color="CCCCCC" w:sz="1"/>
              <w:left w:val="single" w:color="CCCCCC" w:sz="1"/>
              <w:bottom w:val="single" w:color="CCCCCC" w:sz="1"/>
              <w:right w:val="single" w:color="CCCCCC" w:sz="1"/>
            </w:tcBorders>
          </w:tcPr>
          <w:p>
            <w:r>
              <w:t xml:space="preserve">USD 900M</w:t>
            </w:r>
          </w:p>
        </w:tc>
        <w:tc>
          <w:tcPr>
            <w:tcBorders>
              <w:top w:val="single" w:color="CCCCCC" w:sz="1"/>
              <w:left w:val="single" w:color="CCCCCC" w:sz="1"/>
              <w:bottom w:val="single" w:color="CCCCCC" w:sz="1"/>
              <w:right w:val="single" w:color="CCCCCC" w:sz="1"/>
            </w:tcBorders>
          </w:tcPr>
          <w:p>
            <w:r>
              <w:t xml:space="preserve">0,13%</w:t>
            </w:r>
          </w:p>
        </w:tc>
      </w:tr>
      <w:tr>
        <w:tc>
          <w:tcPr>
            <w:tcBorders>
              <w:top w:val="single" w:color="CCCCCC" w:sz="1"/>
              <w:left w:val="single" w:color="CCCCCC" w:sz="1"/>
              <w:bottom w:val="single" w:color="CCCCCC" w:sz="1"/>
              <w:right w:val="single" w:color="CCCCCC" w:sz="1"/>
            </w:tcBorders>
            <w:shd w:fill="EBF5FB" w:val="clear"/>
          </w:tcPr>
          <w:p>
            <w:r>
              <w:t xml:space="preserve">4. Gastos tributarios</w:t>
            </w:r>
          </w:p>
        </w:tc>
        <w:tc>
          <w:tcPr>
            <w:tcBorders>
              <w:top w:val="single" w:color="CCCCCC" w:sz="1"/>
              <w:left w:val="single" w:color="CCCCCC" w:sz="1"/>
              <w:bottom w:val="single" w:color="CCCCCC" w:sz="1"/>
              <w:right w:val="single" w:color="CCCCCC" w:sz="1"/>
            </w:tcBorders>
            <w:shd w:fill="EBF5FB" w:val="clear"/>
          </w:tcPr>
          <w:p>
            <w:r>
              <w:t xml:space="preserve">USD 2.200M</w:t>
            </w:r>
          </w:p>
        </w:tc>
        <w:tc>
          <w:tcPr>
            <w:tcBorders>
              <w:top w:val="single" w:color="CCCCCC" w:sz="1"/>
              <w:left w:val="single" w:color="CCCCCC" w:sz="1"/>
              <w:bottom w:val="single" w:color="CCCCCC" w:sz="1"/>
              <w:right w:val="single" w:color="CCCCCC" w:sz="1"/>
            </w:tcBorders>
            <w:shd w:fill="EBF5FB" w:val="clear"/>
          </w:tcPr>
          <w:p>
            <w:r>
              <w:t xml:space="preserve">0,33%</w:t>
            </w:r>
          </w:p>
        </w:tc>
        <w:tc>
          <w:tcPr>
            <w:tcBorders>
              <w:top w:val="single" w:color="CCCCCC" w:sz="1"/>
              <w:left w:val="single" w:color="CCCCCC" w:sz="1"/>
              <w:bottom w:val="single" w:color="CCCCCC" w:sz="1"/>
              <w:right w:val="single" w:color="CCCCCC" w:sz="1"/>
            </w:tcBorders>
            <w:shd w:fill="EBF5FB" w:val="clear"/>
          </w:tcPr>
          <w:p>
            <w:r>
              <w:t xml:space="preserve">USD 3.500M</w:t>
            </w:r>
          </w:p>
        </w:tc>
        <w:tc>
          <w:tcPr>
            <w:tcBorders>
              <w:top w:val="single" w:color="CCCCCC" w:sz="1"/>
              <w:left w:val="single" w:color="CCCCCC" w:sz="1"/>
              <w:bottom w:val="single" w:color="CCCCCC" w:sz="1"/>
              <w:right w:val="single" w:color="CCCCCC" w:sz="1"/>
            </w:tcBorders>
            <w:shd w:fill="EBF5FB" w:val="clear"/>
          </w:tcPr>
          <w:p>
            <w:r>
              <w:t xml:space="preserve">0,53%</w:t>
            </w:r>
          </w:p>
        </w:tc>
      </w:tr>
      <w:tr>
        <w:tc>
          <w:tcPr>
            <w:tcBorders>
              <w:top w:val="single" w:color="CCCCCC" w:sz="1"/>
              <w:left w:val="single" w:color="CCCCCC" w:sz="1"/>
              <w:bottom w:val="single" w:color="CCCCCC" w:sz="1"/>
              <w:right w:val="single" w:color="CCCCCC" w:sz="1"/>
            </w:tcBorders>
          </w:tcPr>
          <w:p>
            <w:r>
              <w:t xml:space="preserve">5. Servicios digitales</w:t>
            </w:r>
          </w:p>
        </w:tc>
        <w:tc>
          <w:tcPr>
            <w:tcBorders>
              <w:top w:val="single" w:color="CCCCCC" w:sz="1"/>
              <w:left w:val="single" w:color="CCCCCC" w:sz="1"/>
              <w:bottom w:val="single" w:color="CCCCCC" w:sz="1"/>
              <w:right w:val="single" w:color="CCCCCC" w:sz="1"/>
            </w:tcBorders>
          </w:tcPr>
          <w:p>
            <w:r>
              <w:t xml:space="preserve">USD 700M</w:t>
            </w:r>
          </w:p>
        </w:tc>
        <w:tc>
          <w:tcPr>
            <w:tcBorders>
              <w:top w:val="single" w:color="CCCCCC" w:sz="1"/>
              <w:left w:val="single" w:color="CCCCCC" w:sz="1"/>
              <w:bottom w:val="single" w:color="CCCCCC" w:sz="1"/>
              <w:right w:val="single" w:color="CCCCCC" w:sz="1"/>
            </w:tcBorders>
          </w:tcPr>
          <w:p>
            <w:r>
              <w:t xml:space="preserve">0,11%</w:t>
            </w:r>
          </w:p>
        </w:tc>
        <w:tc>
          <w:tcPr>
            <w:tcBorders>
              <w:top w:val="single" w:color="CCCCCC" w:sz="1"/>
              <w:left w:val="single" w:color="CCCCCC" w:sz="1"/>
              <w:bottom w:val="single" w:color="CCCCCC" w:sz="1"/>
              <w:right w:val="single" w:color="CCCCCC" w:sz="1"/>
            </w:tcBorders>
          </w:tcPr>
          <w:p>
            <w:r>
              <w:t xml:space="preserve">USD 1.300M</w:t>
            </w:r>
          </w:p>
        </w:tc>
        <w:tc>
          <w:tcPr>
            <w:tcBorders>
              <w:top w:val="single" w:color="CCCCCC" w:sz="1"/>
              <w:left w:val="single" w:color="CCCCCC" w:sz="1"/>
              <w:bottom w:val="single" w:color="CCCCCC" w:sz="1"/>
              <w:right w:val="single" w:color="CCCCCC" w:sz="1"/>
            </w:tcBorders>
          </w:tcPr>
          <w:p>
            <w:r>
              <w:t xml:space="preserve">0,20%</w:t>
            </w:r>
          </w:p>
        </w:tc>
      </w:tr>
      <w:tr>
        <w:tc>
          <w:tcPr>
            <w:tcBorders>
              <w:top w:val="single" w:color="CCCCCC" w:sz="1"/>
              <w:left w:val="single" w:color="CCCCCC" w:sz="1"/>
              <w:bottom w:val="single" w:color="CCCCCC" w:sz="1"/>
              <w:right w:val="single" w:color="CCCCCC" w:sz="1"/>
            </w:tcBorders>
            <w:shd w:fill="EBF5FB" w:val="clear"/>
          </w:tcPr>
          <w:p>
            <w:r>
              <w:t xml:space="preserve">6. Regalías mineras</w:t>
            </w:r>
          </w:p>
        </w:tc>
        <w:tc>
          <w:tcPr>
            <w:tcBorders>
              <w:top w:val="single" w:color="CCCCCC" w:sz="1"/>
              <w:left w:val="single" w:color="CCCCCC" w:sz="1"/>
              <w:bottom w:val="single" w:color="CCCCCC" w:sz="1"/>
              <w:right w:val="single" w:color="CCCCCC" w:sz="1"/>
            </w:tcBorders>
            <w:shd w:fill="EBF5FB" w:val="clear"/>
          </w:tcPr>
          <w:p>
            <w:r>
              <w:t xml:space="preserve">USD 600M</w:t>
            </w:r>
          </w:p>
        </w:tc>
        <w:tc>
          <w:tcPr>
            <w:tcBorders>
              <w:top w:val="single" w:color="CCCCCC" w:sz="1"/>
              <w:left w:val="single" w:color="CCCCCC" w:sz="1"/>
              <w:bottom w:val="single" w:color="CCCCCC" w:sz="1"/>
              <w:right w:val="single" w:color="CCCCCC" w:sz="1"/>
            </w:tcBorders>
            <w:shd w:fill="EBF5FB" w:val="clear"/>
          </w:tcPr>
          <w:p>
            <w:r>
              <w:t xml:space="preserve">0,09%</w:t>
            </w:r>
          </w:p>
        </w:tc>
        <w:tc>
          <w:tcPr>
            <w:tcBorders>
              <w:top w:val="single" w:color="CCCCCC" w:sz="1"/>
              <w:left w:val="single" w:color="CCCCCC" w:sz="1"/>
              <w:bottom w:val="single" w:color="CCCCCC" w:sz="1"/>
              <w:right w:val="single" w:color="CCCCCC" w:sz="1"/>
            </w:tcBorders>
            <w:shd w:fill="EBF5FB" w:val="clear"/>
          </w:tcPr>
          <w:p>
            <w:r>
              <w:t xml:space="preserve">USD 1.200M</w:t>
            </w:r>
          </w:p>
        </w:tc>
        <w:tc>
          <w:tcPr>
            <w:tcBorders>
              <w:top w:val="single" w:color="CCCCCC" w:sz="1"/>
              <w:left w:val="single" w:color="CCCCCC" w:sz="1"/>
              <w:bottom w:val="single" w:color="CCCCCC" w:sz="1"/>
              <w:right w:val="single" w:color="CCCCCC" w:sz="1"/>
            </w:tcBorders>
            <w:shd w:fill="EBF5FB" w:val="clear"/>
          </w:tcPr>
          <w:p>
            <w:r>
              <w:t xml:space="preserve">0,18%</w:t>
            </w:r>
          </w:p>
        </w:tc>
      </w:tr>
      <w:tr>
        <w:tc>
          <w:tcPr>
            <w:tcBorders>
              <w:top w:val="single" w:color="CCCCCC" w:sz="1"/>
              <w:left w:val="single" w:color="CCCCCC" w:sz="1"/>
              <w:bottom w:val="single" w:color="CCCCCC" w:sz="1"/>
              <w:right w:val="single" w:color="CCCCCC" w:sz="1"/>
            </w:tcBorders>
          </w:tcPr>
          <w:p>
            <w:r>
              <w:t xml:space="preserve">7. Impuesto carbono (neto)</w:t>
            </w:r>
          </w:p>
        </w:tc>
        <w:tc>
          <w:tcPr>
            <w:tcBorders>
              <w:top w:val="single" w:color="CCCCCC" w:sz="1"/>
              <w:left w:val="single" w:color="CCCCCC" w:sz="1"/>
              <w:bottom w:val="single" w:color="CCCCCC" w:sz="1"/>
              <w:right w:val="single" w:color="CCCCCC" w:sz="1"/>
            </w:tcBorders>
          </w:tcPr>
          <w:p>
            <w:r>
              <w:t xml:space="preserve">USD 400M</w:t>
            </w:r>
          </w:p>
        </w:tc>
        <w:tc>
          <w:tcPr>
            <w:tcBorders>
              <w:top w:val="single" w:color="CCCCCC" w:sz="1"/>
              <w:left w:val="single" w:color="CCCCCC" w:sz="1"/>
              <w:bottom w:val="single" w:color="CCCCCC" w:sz="1"/>
              <w:right w:val="single" w:color="CCCCCC" w:sz="1"/>
            </w:tcBorders>
          </w:tcPr>
          <w:p>
            <w:r>
              <w:t xml:space="preserve">0,06%</w:t>
            </w:r>
          </w:p>
        </w:tc>
        <w:tc>
          <w:tcPr>
            <w:tcBorders>
              <w:top w:val="single" w:color="CCCCCC" w:sz="1"/>
              <w:left w:val="single" w:color="CCCCCC" w:sz="1"/>
              <w:bottom w:val="single" w:color="CCCCCC" w:sz="1"/>
              <w:right w:val="single" w:color="CCCCCC" w:sz="1"/>
            </w:tcBorders>
          </w:tcPr>
          <w:p>
            <w:r>
              <w:t xml:space="preserve">USD 750M</w:t>
            </w:r>
          </w:p>
        </w:tc>
        <w:tc>
          <w:tcPr>
            <w:tcBorders>
              <w:top w:val="single" w:color="CCCCCC" w:sz="1"/>
              <w:left w:val="single" w:color="CCCCCC" w:sz="1"/>
              <w:bottom w:val="single" w:color="CCCCCC" w:sz="1"/>
              <w:right w:val="single" w:color="CCCCCC" w:sz="1"/>
            </w:tcBorders>
          </w:tcPr>
          <w:p>
            <w:r>
              <w:t xml:space="preserve">0,11%</w:t>
            </w:r>
          </w:p>
        </w:tc>
      </w:tr>
      <w:tr>
        <w:tc>
          <w:tcPr>
            <w:tcBorders>
              <w:top w:val="single" w:color="CCCCCC" w:sz="1"/>
              <w:left w:val="single" w:color="CCCCCC" w:sz="1"/>
              <w:bottom w:val="single" w:color="CCCCCC" w:sz="1"/>
              <w:right w:val="single" w:color="CCCCCC" w:sz="1"/>
            </w:tcBorders>
            <w:shd w:fill="EBF5FB" w:val="clear"/>
          </w:tcPr>
          <w:p>
            <w:r>
              <w:t xml:space="preserve">TOTAL NUEVO</w:t>
            </w:r>
          </w:p>
        </w:tc>
        <w:tc>
          <w:tcPr>
            <w:tcBorders>
              <w:top w:val="single" w:color="CCCCCC" w:sz="1"/>
              <w:left w:val="single" w:color="CCCCCC" w:sz="1"/>
              <w:bottom w:val="single" w:color="CCCCCC" w:sz="1"/>
              <w:right w:val="single" w:color="CCCCCC" w:sz="1"/>
            </w:tcBorders>
            <w:shd w:fill="EBF5FB" w:val="clear"/>
          </w:tcPr>
          <w:p>
            <w:r>
              <w:t xml:space="preserve">USD 5.700M</w:t>
            </w:r>
          </w:p>
        </w:tc>
        <w:tc>
          <w:tcPr>
            <w:tcBorders>
              <w:top w:val="single" w:color="CCCCCC" w:sz="1"/>
              <w:left w:val="single" w:color="CCCCCC" w:sz="1"/>
              <w:bottom w:val="single" w:color="CCCCCC" w:sz="1"/>
              <w:right w:val="single" w:color="CCCCCC" w:sz="1"/>
            </w:tcBorders>
            <w:shd w:fill="EBF5FB" w:val="clear"/>
          </w:tcPr>
          <w:p>
            <w:r>
              <w:t xml:space="preserve">0,85%</w:t>
            </w:r>
          </w:p>
        </w:tc>
        <w:tc>
          <w:tcPr>
            <w:tcBorders>
              <w:top w:val="single" w:color="CCCCCC" w:sz="1"/>
              <w:left w:val="single" w:color="CCCCCC" w:sz="1"/>
              <w:bottom w:val="single" w:color="CCCCCC" w:sz="1"/>
              <w:right w:val="single" w:color="CCCCCC" w:sz="1"/>
            </w:tcBorders>
            <w:shd w:fill="EBF5FB" w:val="clear"/>
          </w:tcPr>
          <w:p>
            <w:r>
              <w:t xml:space="preserve">USD 10.650M</w:t>
            </w:r>
          </w:p>
        </w:tc>
        <w:tc>
          <w:tcPr>
            <w:tcBorders>
              <w:top w:val="single" w:color="CCCCCC" w:sz="1"/>
              <w:left w:val="single" w:color="CCCCCC" w:sz="1"/>
              <w:bottom w:val="single" w:color="CCCCCC" w:sz="1"/>
              <w:right w:val="single" w:color="CCCCCC" w:sz="1"/>
            </w:tcBorders>
            <w:shd w:fill="EBF5FB" w:val="clear"/>
          </w:tcPr>
          <w:p>
            <w:r>
              <w:t xml:space="preserve">1,60%</w:t>
            </w:r>
          </w:p>
        </w:tc>
      </w:tr>
    </w:tbl>
    <w:r>
      <w:br w:type="page"/>
    </w:r>
    <w:p>
      <w:pPr>
        <w:pStyle w:val="Heading 1"/>
        <w:spacing w:after="120" w:before="240"/>
        <w:outlineLvl w:val="0"/>
      </w:pPr>
      <w:r>
        <w:t xml:space="preserve">7. CONCLUSIÓN</w:t>
      </w:r>
    </w:p>
    <w:p>
      <w:pPr>
        <w:spacing w:after="60" w:before="60" w:line="360"/>
        <w:jc w:val="both"/>
      </w:pPr>
      <w:r>
        <w:t xml:space="preserve">Este documento presenta análisis riguroso de siete fuentes de financiamiento mediante reforma tributaria progresiva que permitirían a Argentina generar entre 3-4 puntos del PBI en ingresos adicionales hacia 2031, simultáneamente con mejora radical de distribución del ingreso.</w:t>
      </w:r>
    </w:p>
    <w:p>
      <w:pPr>
        <w:spacing w:after="60" w:before="60" w:line="360"/>
        <w:jc w:val="both"/>
      </w:pPr>
      <w:r>
        <w:t xml:space="preserve">El punto de partida es incuestionable: Argentina tiene presión tributaria de apenas 21,4% del PBI (mínimo en 20 años), estructura profundamente regresiva (36% impuestos indirectos), y gastos tributarios de USD 8.700 millones anuales beneficiando elites. Es problema de elecciones políticas, no de necesidades económicas. Es posible recaudar más, recaudando mejor.</w:t>
      </w:r>
    </w:p>
    <w:p>
      <w:pPr>
        <w:spacing w:after="60" w:before="60" w:line="360"/>
        <w:jc w:val="both"/>
      </w:pPr>
      <w:r>
        <w:t xml:space="preserve">Las siete propuestas son todas aplicadas exitosamente en economías comparables con Argentina (España, Noruega, Japón, Corea del Sur, Chile, Suecia). Ninguna es experimental. Tienen bajo riesgo de fuga porque afectan activos no-móviles o servicios de uso cotidiano. Implementación secuencial de 5 años permite ajustes. Permiten eliminación simultánea de dos impuestos regresivos que cuestan 2,4% PBI anual.</w:t>
      </w:r>
    </w:p>
    <w:p>
      <w:pPr>
        <w:spacing w:after="60" w:before="60" w:line="360"/>
        <w:jc w:val="both"/>
      </w:pPr>
      <w:r>
        <w:t xml:space="preserve">La concentración de riqueza en Argentina (Gini 0,82) es incompatible con democracia funcional. Cuando el 1% captura 40% de ingresos, esa 1% compra aparatos de estado, medios, sistema de justicia. No es posible democracia bajo esas condiciones.</w:t>
      </w:r>
    </w:p>
    <w:p>
      <w:pPr>
        <w:spacing w:after="60" w:before="60" w:line="360"/>
        <w:jc w:val="both"/>
      </w:pPr>
      <w:r>
        <w:t xml:space="preserve">Esas 7 medidas son respuesta: "reconstrucción de capacidad estatal para financiar bienes públicos": escuelas, hospitales, infraestructura, ciencia. Las resistencias políticas serán enormes. Pero elites concentradas no son invencibles: son minoría. En democracia, mayorías pueden ganar si están organizadas, comunican con claridad, actúan con persistencia institucional.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2026-03-23T19:54:15.577Z</dcterms:created>
  <dcterms:modified xsi:type="dcterms:W3CDTF">2026-03-23T19:54:15.577Z</dcterms:modified>
</cp:coreProperties>
</file>

<file path=docProps/custom.xml><?xml version="1.0" encoding="utf-8"?>
<Properties xmlns="http://schemas.openxmlformats.org/officeDocument/2006/custom-properties" xmlns:vt="http://schemas.openxmlformats.org/officeDocument/2006/docPropsVTypes"/>
</file>