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52"/>
          <w:szCs w:val="52"/>
        </w:rPr>
        <w:t xml:space="preserve">ARGENTINA PRÓSPERA 2027-2031</w:t>
      </w:r>
    </w:p>
    <w:p>
      <w:pPr>
        <w:pBdr>
          <w:bottom w:val="single" w:color="2E86C1" w:sz="6" w:space="8"/>
        </w:pBdr>
        <w:spacing w:after="100"/>
        <w:jc w:val="center"/>
      </w:pPr>
      <w:r>
        <w:rPr>
          <w:rFonts w:ascii="Arial" w:cs="Arial" w:eastAsia="Arial" w:hAnsi="Arial"/>
          <w:color w:val="2E86C1"/>
          <w:sz w:val="28"/>
          <w:szCs w:val="28"/>
        </w:rPr>
        <w:t xml:space="preserve">Ingreso Básico Universal, Inteligencia Artificial</w:t>
      </w:r>
    </w:p>
    <w:p>
      <w:pPr>
        <w:spacing w:after="400"/>
        <w:jc w:val="center"/>
      </w:pPr>
      <w:r>
        <w:rPr>
          <w:rFonts w:ascii="Arial" w:cs="Arial" w:eastAsia="Arial" w:hAnsi="Arial"/>
          <w:color w:val="2E86C1"/>
          <w:sz w:val="28"/>
          <w:szCs w:val="28"/>
        </w:rPr>
        <w:t xml:space="preserve">y Reforma Productiva</w:t>
      </w:r>
    </w:p>
    <w:p>
      <w:pPr>
        <w:spacing w:after="200"/>
        <w:jc w:val="center"/>
      </w:pPr>
      <w:r>
        <w:rPr>
          <w:rFonts w:ascii="Arial" w:cs="Arial" w:eastAsia="Arial" w:hAnsi="Arial"/>
          <w:color w:val="555555"/>
          <w:sz w:val="22"/>
          <w:szCs w:val="22"/>
        </w:rPr>
        <w:t xml:space="preserve">Cómo garantizar alimentación, salud y vivienda digna
en una Argentina donde la IA transforma el empleo</w:t>
      </w:r>
    </w:p>
    <w:p>
      <w:pPr>
        <w:spacing w:before="800"/>
      </w:pPr>
    </w:p>
    <w:p>
      <w:pPr>
        <w:jc w:val="center"/>
      </w:pPr>
      <w:r>
        <w:rPr>
          <w:rFonts w:ascii="Arial" w:cs="Arial" w:eastAsia="Arial" w:hAnsi="Arial"/>
          <w:i/>
          <w:iCs/>
          <w:color w:val="888888"/>
          <w:sz w:val="20"/>
          <w:szCs w:val="20"/>
        </w:rPr>
        <w:t xml:space="preserve">Documento de trabajo — Marzo 2026</w:t>
      </w:r>
    </w:p>
    <w:p>
      <w:pPr>
        <w:jc w:val="center"/>
      </w:pPr>
      <w:r>
        <w:rPr>
          <w:rFonts w:ascii="Arial" w:cs="Arial" w:eastAsia="Arial" w:hAnsi="Arial"/>
          <w:color w:val="888888"/>
          <w:sz w:val="20"/>
          <w:szCs w:val="20"/>
        </w:rPr>
        <w:t xml:space="preserve">Mariano Stampella</w:t>
      </w:r>
    </w:p>
    <w:p>
      <w:r>
        <w:br w:type="page"/>
      </w:r>
    </w:p>
    <w:p>
      <w:pPr>
        <w:pStyle w:val="Heading1"/>
        <w:spacing w:after="200" w:before="360"/>
      </w:pPr>
      <w:r>
        <w:rPr>
          <w:rFonts w:ascii="Arial" w:cs="Arial" w:eastAsia="Arial" w:hAnsi="Arial"/>
          <w:b/>
          <w:bCs/>
          <w:color w:val="1B4F72"/>
          <w:sz w:val="32"/>
          <w:szCs w:val="32"/>
        </w:rPr>
        <w:t xml:space="preserve">Resumen Ejecutivo</w:t>
      </w:r>
    </w:p>
    <w:p>
      <w:pPr>
        <w:spacing w:after="120"/>
      </w:pPr>
      <w:r>
        <w:rPr>
          <w:rFonts w:ascii="Arial" w:cs="Arial" w:eastAsia="Arial" w:hAnsi="Arial"/>
          <w:i w:val="false"/>
          <w:iCs w:val="false"/>
          <w:color w:val="333333"/>
          <w:sz w:val="22"/>
          <w:szCs w:val="22"/>
        </w:rPr>
        <w:t xml:space="preserve">Este documento analiza la factibilidad de implementar un Ingreso Básico Universal (IBU) en Argentina en el contexto de una transformación profunda del mercado laboral por la inteligencia artificial. La pregunta central es: ¿puede Argentina garantizar alimentación, salud y vivienda digna a toda su población si la IA desplaza masivamente empleos de oficina?</w:t>
      </w:r>
    </w:p>
    <w:p>
      <w:pPr>
        <w:spacing w:after="120"/>
      </w:pPr>
      <w:r>
        <w:rPr>
          <w:rFonts w:ascii="Arial" w:cs="Arial" w:eastAsia="Arial" w:hAnsi="Arial"/>
          <w:i w:val="false"/>
          <w:iCs w:val="false"/>
          <w:color w:val="333333"/>
          <w:sz w:val="22"/>
          <w:szCs w:val="22"/>
        </w:rPr>
        <w:t xml:space="preserve">La respuesta, con datos reales y rigor numérico, es: sí, pero requiere un diseño inteligente e implementación gradual.</w:t>
      </w:r>
    </w:p>
    <w:p>
      <w:pPr>
        <w:pBdr>
          <w:left w:val="single" w:color="2E86C1" w:sz="6" w:space="8"/>
        </w:pBdr>
        <w:spacing w:after="120"/>
        <w:ind w:left="720"/>
      </w:pPr>
      <w:r>
        <w:rPr>
          <w:rFonts w:ascii="Arial" w:cs="Arial" w:eastAsia="Arial" w:hAnsi="Arial"/>
          <w:i/>
          <w:iCs/>
          <w:color w:val="2E86C1"/>
          <w:sz w:val="22"/>
          <w:szCs w:val="22"/>
        </w:rPr>
        <w:t xml:space="preserve">Premisa: en un mundo donde las máquinas hacen cada vez más trabajo, el fruto de ese trabajo debe distribuirse entre todos, no concentrarse en quienes poseen las máquinas.</w:t>
      </w:r>
    </w:p>
    <w:p>
      <w:pPr>
        <w:spacing w:after="120"/>
      </w:pPr>
      <w:r>
        <w:rPr>
          <w:rFonts w:ascii="Arial" w:cs="Arial" w:eastAsia="Arial" w:hAnsi="Arial"/>
          <w:i w:val="false"/>
          <w:iCs w:val="false"/>
          <w:color w:val="333333"/>
          <w:sz w:val="22"/>
          <w:szCs w:val="22"/>
        </w:rPr>
        <w:t xml:space="preserve">El documento modela tres escenarios de cobertura, analiza las fuentes de financiamiento progresivo (incluyendo un impuesto a la automatización), y propone una hoja de ruta de implementación gradual 2027-2035.</w:t>
      </w:r>
    </w:p>
    <w:p>
      <w:r>
        <w:br w:type="page"/>
      </w:r>
    </w:p>
    <w:p>
      <w:pPr>
        <w:pStyle w:val="Heading1"/>
        <w:spacing w:after="200" w:before="360"/>
      </w:pPr>
      <w:r>
        <w:rPr>
          <w:rFonts w:ascii="Arial" w:cs="Arial" w:eastAsia="Arial" w:hAnsi="Arial"/>
          <w:b/>
          <w:bCs/>
          <w:color w:val="1B4F72"/>
          <w:sz w:val="32"/>
          <w:szCs w:val="32"/>
        </w:rPr>
        <w:t xml:space="preserve">1. Marco Teórico: El Ingreso Básico Universal</w:t>
      </w:r>
    </w:p>
    <w:p>
      <w:pPr>
        <w:pStyle w:val="Heading2"/>
        <w:spacing w:after="160" w:before="280"/>
      </w:pPr>
      <w:r>
        <w:rPr>
          <w:rFonts w:ascii="Arial" w:cs="Arial" w:eastAsia="Arial" w:hAnsi="Arial"/>
          <w:b/>
          <w:bCs/>
          <w:color w:val="2E86C1"/>
          <w:sz w:val="26"/>
          <w:szCs w:val="26"/>
        </w:rPr>
        <w:t xml:space="preserve">1.1 Definición y principios</w:t>
      </w:r>
    </w:p>
    <w:p>
      <w:pPr>
        <w:spacing w:after="120"/>
      </w:pPr>
      <w:r>
        <w:rPr>
          <w:rFonts w:ascii="Arial" w:cs="Arial" w:eastAsia="Arial" w:hAnsi="Arial"/>
          <w:color w:val="333333"/>
          <w:sz w:val="22"/>
          <w:szCs w:val="22"/>
        </w:rPr>
        <w:t xml:space="preserve">El IBU es una transferencia monetaria </w:t>
      </w:r>
      <w:r>
        <w:rPr>
          <w:rFonts w:ascii="Arial" w:cs="Arial" w:eastAsia="Arial" w:hAnsi="Arial"/>
          <w:b/>
          <w:bCs/>
          <w:color w:val="333333"/>
          <w:sz w:val="22"/>
          <w:szCs w:val="22"/>
        </w:rPr>
        <w:t xml:space="preserve">individual, universal, incondicional y periódica</w:t>
      </w:r>
      <w:r>
        <w:rPr>
          <w:rFonts w:ascii="Arial" w:cs="Arial" w:eastAsia="Arial" w:hAnsi="Arial"/>
          <w:color w:val="333333"/>
          <w:sz w:val="22"/>
          <w:szCs w:val="22"/>
        </w:rPr>
        <w:t xml:space="preserve"> que el Estado otorga a cada ciudadano independientemente de su situación laboral, patrimonial o familiar.</w:t>
      </w:r>
      <w:r>
        <w:rPr>
          <w:rStyle w:val="FootnoteReference"/>
        </w:rPr>
        <w:footnoteReference w:id="1"/>
      </w:r>
    </w:p>
    <w:p>
      <w:pPr>
        <w:spacing w:after="120"/>
      </w:pPr>
      <w:r>
        <w:rPr>
          <w:rFonts w:ascii="Arial" w:cs="Arial" w:eastAsia="Arial" w:hAnsi="Arial"/>
          <w:i w:val="false"/>
          <w:iCs w:val="false"/>
          <w:color w:val="333333"/>
          <w:sz w:val="22"/>
          <w:szCs w:val="22"/>
        </w:rPr>
        <w:t xml:space="preserve">Se diferencia de los planes sociales condicionados en cuatro aspectos fundamentales: se paga a todos (no solo a “pobres”), no exige contraprestación laboral, es individual (no por hogar), y no genera estigmatización del beneficiario.</w:t>
      </w:r>
    </w:p>
    <w:p>
      <w:pPr>
        <w:pStyle w:val="Heading2"/>
        <w:spacing w:after="160" w:before="280"/>
      </w:pPr>
      <w:r>
        <w:rPr>
          <w:rFonts w:ascii="Arial" w:cs="Arial" w:eastAsia="Arial" w:hAnsi="Arial"/>
          <w:b/>
          <w:bCs/>
          <w:color w:val="2E86C1"/>
          <w:sz w:val="26"/>
          <w:szCs w:val="26"/>
        </w:rPr>
        <w:t xml:space="preserve">1.2 Evidencia empírica internacional</w:t>
      </w:r>
    </w:p>
    <w:p>
      <w:pPr>
        <w:spacing w:after="120" w:before="200"/>
      </w:pPr>
      <w:r>
        <w:rPr>
          <w:rFonts w:ascii="Arial" w:cs="Arial" w:eastAsia="Arial" w:hAnsi="Arial"/>
          <w:b/>
          <w:bCs/>
          <w:color w:val="1B4F72"/>
          <w:sz w:val="22"/>
          <w:szCs w:val="22"/>
        </w:rPr>
        <w:t xml:space="preserve">Finlandia (2017-2018)</w:t>
      </w:r>
    </w:p>
    <w:p>
      <w:pPr>
        <w:spacing w:after="120"/>
      </w:pPr>
      <w:r>
        <w:rPr>
          <w:rFonts w:ascii="Arial" w:cs="Arial" w:eastAsia="Arial" w:hAnsi="Arial"/>
          <w:color w:val="333333"/>
          <w:sz w:val="22"/>
          <w:szCs w:val="22"/>
        </w:rPr>
        <w:t xml:space="preserve">El piloto finlándes otorgó €560/mes a 2.000 desempleados durante 2 años. Resultados: aumento pequeño pero estadísticamente significativo del empleo, mayor satisfacción vital, mejor salud mental, menor estrés y mayor confianza en las instituciones públicas.</w:t>
      </w:r>
      <w:r>
        <w:rPr>
          <w:rStyle w:val="FootnoteReference"/>
        </w:rPr>
        <w:footnoteReference w:id="3"/>
      </w:r>
    </w:p>
    <w:p>
      <w:pPr>
        <w:spacing w:after="120" w:before="200"/>
      </w:pPr>
      <w:r>
        <w:rPr>
          <w:rFonts w:ascii="Arial" w:cs="Arial" w:eastAsia="Arial" w:hAnsi="Arial"/>
          <w:b/>
          <w:bCs/>
          <w:color w:val="1B4F72"/>
          <w:sz w:val="22"/>
          <w:szCs w:val="22"/>
        </w:rPr>
        <w:t xml:space="preserve">Kenya — GiveDirectly (2017-presente)</w:t>
      </w:r>
    </w:p>
    <w:p>
      <w:pPr>
        <w:spacing w:after="120"/>
      </w:pPr>
      <w:r>
        <w:rPr>
          <w:rFonts w:ascii="Arial" w:cs="Arial" w:eastAsia="Arial" w:hAnsi="Arial"/>
          <w:color w:val="333333"/>
          <w:sz w:val="22"/>
          <w:szCs w:val="22"/>
        </w:rPr>
        <w:t xml:space="preserve">El mayor experimento de IBU del mundo: 23.000 personas en 195 aldeas. No se encontró reducción de la oferta laboral; al contrario, los beneficiarios migraron de empleo asalariado a emprendimientos propios. El pago único (lump sum) tuvo el mayor impacto en creación de negocios.</w:t>
      </w:r>
      <w:r>
        <w:rPr>
          <w:rStyle w:val="FootnoteReference"/>
        </w:rPr>
        <w:footnoteReference w:id="2"/>
      </w:r>
    </w:p>
    <w:p>
      <w:pPr>
        <w:spacing w:after="120" w:before="200"/>
      </w:pPr>
      <w:r>
        <w:rPr>
          <w:rFonts w:ascii="Arial" w:cs="Arial" w:eastAsia="Arial" w:hAnsi="Arial"/>
          <w:b/>
          <w:bCs/>
          <w:color w:val="1B4F72"/>
          <w:sz w:val="22"/>
          <w:szCs w:val="22"/>
        </w:rPr>
        <w:t xml:space="preserve">Stockton, California (2019-2021)</w:t>
      </w:r>
    </w:p>
    <w:p>
      <w:pPr>
        <w:spacing w:after="120"/>
      </w:pPr>
      <w:r>
        <w:rPr>
          <w:rFonts w:ascii="Arial" w:cs="Arial" w:eastAsia="Arial" w:hAnsi="Arial"/>
          <w:color w:val="333333"/>
          <w:sz w:val="22"/>
          <w:szCs w:val="22"/>
        </w:rPr>
        <w:t xml:space="preserve">USD 500/mes a 125 residentes. El empleo full-time aumentó porque las personas pudieron buscar mejores trabajos en lugar de aceptar múltiples empleos precarios.</w:t>
      </w:r>
      <w:r>
        <w:rPr>
          <w:rStyle w:val="FootnoteReference"/>
        </w:rPr>
        <w:footnoteReference w:id="14"/>
      </w:r>
    </w:p>
    <w:p>
      <w:pPr>
        <w:spacing w:after="120"/>
      </w:pPr>
      <w:r>
        <w:rPr>
          <w:rFonts w:ascii="Arial" w:cs="Arial" w:eastAsia="Arial" w:hAnsi="Arial"/>
          <w:color w:val="333333"/>
          <w:sz w:val="22"/>
          <w:szCs w:val="22"/>
        </w:rPr>
        <w:t xml:space="preserve">En total, se han realizado más de 160 pilotos de IBU en el mundo. Un metaanálisis de 2024 encontró reducción de 4,5% en obesidad infantil, aumento de 30% en asistencia escolar femenina y un año adicional de escolaridad promedio.</w:t>
      </w:r>
      <w:r>
        <w:rPr>
          <w:rStyle w:val="FootnoteReference"/>
        </w:rPr>
        <w:footnoteReference w:id="13"/>
      </w:r>
    </w:p>
    <w:p>
      <w:pPr>
        <w:pBdr>
          <w:left w:val="single" w:color="2E86C1" w:sz="6" w:space="8"/>
        </w:pBdr>
        <w:spacing w:after="120"/>
        <w:ind w:left="720"/>
      </w:pPr>
      <w:r>
        <w:rPr>
          <w:rFonts w:ascii="Arial" w:cs="Arial" w:eastAsia="Arial" w:hAnsi="Arial"/>
          <w:i/>
          <w:iCs/>
          <w:color w:val="2E86C1"/>
          <w:sz w:val="22"/>
          <w:szCs w:val="22"/>
        </w:rPr>
        <w:t xml:space="preserve">Hallazgo común: la gente NO deja de trabajar. Emprende, estudia, cuida familiares, y la economía local se beneficia porque el consumo aumenta.</w:t>
      </w:r>
    </w:p>
    <w:p>
      <w:r>
        <w:br w:type="page"/>
      </w:r>
    </w:p>
    <w:p>
      <w:pPr>
        <w:pStyle w:val="Heading1"/>
        <w:spacing w:after="200" w:before="360"/>
      </w:pPr>
      <w:r>
        <w:rPr>
          <w:rFonts w:ascii="Arial" w:cs="Arial" w:eastAsia="Arial" w:hAnsi="Arial"/>
          <w:b/>
          <w:bCs/>
          <w:color w:val="1B4F72"/>
          <w:sz w:val="32"/>
          <w:szCs w:val="32"/>
        </w:rPr>
        <w:t xml:space="preserve">2. Diagnóstico: Argentina Hoy</w:t>
      </w:r>
    </w:p>
    <w:p>
      <w:pPr>
        <w:pStyle w:val="Heading2"/>
        <w:spacing w:after="160" w:before="280"/>
      </w:pPr>
      <w:r>
        <w:rPr>
          <w:rFonts w:ascii="Arial" w:cs="Arial" w:eastAsia="Arial" w:hAnsi="Arial"/>
          <w:b/>
          <w:bCs/>
          <w:color w:val="2E86C1"/>
          <w:sz w:val="26"/>
          <w:szCs w:val="26"/>
        </w:rPr>
        <w:t xml:space="preserve">2.1 Estructura demográfica</w:t>
      </w:r>
    </w:p>
    <w:p>
      <w:pPr>
        <w:spacing w:after="120"/>
      </w:pPr>
      <w:r>
        <w:rPr>
          <w:rFonts w:ascii="Arial" w:cs="Arial" w:eastAsia="Arial" w:hAnsi="Arial"/>
          <w:color w:val="333333"/>
          <w:sz w:val="22"/>
          <w:szCs w:val="22"/>
        </w:rPr>
        <w:t xml:space="preserve">Argentina tiene ~46,5 millones de habitantes (proyección 2026 sobre Censo 2022): 12,3 M menores de 18 años (26,5%), 27,5 M adultos en edad laboral (59%), y 6,7 M mayores de 65 (14,5%).</w:t>
      </w:r>
      <w:r>
        <w:rPr>
          <w:rStyle w:val="FootnoteReference"/>
        </w:rPr>
        <w:footnoteReference w:id="4"/>
      </w:r>
    </w:p>
    <w:p>
      <w:pPr>
        <w:pStyle w:val="Heading2"/>
        <w:spacing w:after="160" w:before="280"/>
      </w:pPr>
      <w:r>
        <w:rPr>
          <w:rFonts w:ascii="Arial" w:cs="Arial" w:eastAsia="Arial" w:hAnsi="Arial"/>
          <w:b/>
          <w:bCs/>
          <w:color w:val="2E86C1"/>
          <w:sz w:val="26"/>
          <w:szCs w:val="26"/>
        </w:rPr>
        <w:t xml:space="preserve">2.2 Pobreza y desigualdad</w:t>
      </w:r>
    </w:p>
    <w:p>
      <w:pPr>
        <w:spacing w:after="120"/>
      </w:pPr>
      <w:r>
        <w:rPr>
          <w:rFonts w:ascii="Arial" w:cs="Arial" w:eastAsia="Arial" w:hAnsi="Arial"/>
          <w:color w:val="333333"/>
          <w:sz w:val="22"/>
          <w:szCs w:val="22"/>
        </w:rPr>
        <w:t xml:space="preserve">En el primer semestre de 2025, la pobreza alcanzó al 31,6% de las personas (15 millones) y la indigencia al 6,9% (3,2 millones). El coeficiente de Gini se ubicó en 0,424 (2T 2025), y el 10% más rico gana 13 veces más que el 10% más pobre.</w:t>
      </w:r>
      <w:r>
        <w:rPr>
          <w:rStyle w:val="FootnoteReference"/>
        </w:rPr>
        <w:footnoteReference w:id="5"/>
      </w:r>
    </w:p>
    <w:p>
      <w:pPr>
        <w:pStyle w:val="Heading2"/>
        <w:spacing w:after="160" w:before="280"/>
      </w:pPr>
      <w:r>
        <w:rPr>
          <w:rFonts w:ascii="Arial" w:cs="Arial" w:eastAsia="Arial" w:hAnsi="Arial"/>
          <w:b/>
          <w:bCs/>
          <w:color w:val="2E86C1"/>
          <w:sz w:val="26"/>
          <w:szCs w:val="26"/>
        </w:rPr>
        <w:t xml:space="preserve">2.3 Mercado laboral</w:t>
      </w:r>
    </w:p>
    <w:p>
      <w:pPr>
        <w:spacing w:after="120"/>
      </w:pPr>
      <w:r>
        <w:rPr>
          <w:rFonts w:ascii="Arial" w:cs="Arial" w:eastAsia="Arial" w:hAnsi="Arial"/>
          <w:color w:val="333333"/>
          <w:sz w:val="22"/>
          <w:szCs w:val="22"/>
        </w:rPr>
        <w:t xml:space="preserve">La informalidad laboral alcanza el 42% de los trabajadores. Un trabajador informal gana en promedio un 41% menos que un formal con características similares. Entre 2019 y 2025, el salario real del empleo informal cayó más del 25%.</w:t>
      </w:r>
      <w:r>
        <w:rPr>
          <w:rStyle w:val="FootnoteReference"/>
        </w:rPr>
        <w:footnoteReference w:id="8"/>
      </w:r>
    </w:p>
    <w:p>
      <w:pPr>
        <w:pStyle w:val="Heading2"/>
        <w:spacing w:after="160" w:before="280"/>
      </w:pPr>
      <w:r>
        <w:rPr>
          <w:rFonts w:ascii="Arial" w:cs="Arial" w:eastAsia="Arial" w:hAnsi="Arial"/>
          <w:b/>
          <w:bCs/>
          <w:color w:val="2E86C1"/>
          <w:sz w:val="26"/>
          <w:szCs w:val="26"/>
        </w:rPr>
        <w:t xml:space="preserve">2.4 Canastas básicas (diciembre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Concepto</w:t>
            </w:r>
          </w:p>
        </w:tc>
        <w:tc>
          <w:tcPr>
            <w:tcW w:type="dxa" w:w="293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ARS/mes (adulto equiv.)</w:t>
            </w:r>
          </w:p>
        </w:tc>
        <w:tc>
          <w:tcPr>
            <w:tcW w:type="dxa" w:w="293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USD/mes (TC 1.500)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Canasta Básica Alimentaria (CBA)</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190.780</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~127</w:t>
            </w:r>
          </w:p>
        </w:tc>
      </w:tr>
      <w:tr>
        <w:tc>
          <w:tcPr>
            <w:tcW w:type="dxa" w:w="35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Canasta Básica Total (CBT)</w:t>
            </w:r>
          </w:p>
        </w:tc>
        <w:tc>
          <w:tcPr>
            <w:tcW w:type="dxa" w:w="293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423.532</w:t>
            </w:r>
          </w:p>
        </w:tc>
        <w:tc>
          <w:tcPr>
            <w:tcW w:type="dxa" w:w="293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~282</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CBT + Componente vivienda</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~648.500</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~432</w:t>
            </w:r>
          </w:p>
        </w:tc>
      </w:tr>
    </w:tbl>
    <w:p>
      <w:pPr>
        <w:spacing w:after="120"/>
      </w:pPr>
      <w:r>
        <w:rPr>
          <w:rFonts w:ascii="Arial" w:cs="Arial" w:eastAsia="Arial" w:hAnsi="Arial"/>
          <w:i/>
          <w:iCs/>
          <w:color w:val="888888"/>
          <w:sz w:val="18"/>
          <w:szCs w:val="18"/>
        </w:rPr>
        <w:t xml:space="preserve">Fuente: INDEC, diciembre 2025.</w:t>
      </w:r>
      <w:r>
        <w:rPr>
          <w:rStyle w:val="FootnoteReference"/>
        </w:rPr>
        <w:footnoteReference w:id="9"/>
      </w:r>
    </w:p>
    <w:p>
      <w:pPr>
        <w:pStyle w:val="Heading2"/>
        <w:spacing w:after="160" w:before="280"/>
      </w:pPr>
      <w:r>
        <w:rPr>
          <w:rFonts w:ascii="Arial" w:cs="Arial" w:eastAsia="Arial" w:hAnsi="Arial"/>
          <w:b/>
          <w:bCs/>
          <w:color w:val="2E86C1"/>
          <w:sz w:val="26"/>
          <w:szCs w:val="26"/>
        </w:rPr>
        <w:t xml:space="preserve">2.5 Gasto social existente</w:t>
      </w:r>
    </w:p>
    <w:p>
      <w:pPr>
        <w:spacing w:after="120"/>
      </w:pPr>
      <w:r>
        <w:rPr>
          <w:rFonts w:ascii="Arial" w:cs="Arial" w:eastAsia="Arial" w:hAnsi="Arial"/>
          <w:color w:val="333333"/>
          <w:sz w:val="22"/>
          <w:szCs w:val="22"/>
        </w:rPr>
        <w:t xml:space="preserve">El gasto social del Estado nacional equivale al 12% del PBI, pero tres cuartos se destinan a jubilaciones y pensiones. Los programas de transferencia directa (AUH, planes sociales, Tarjeta Alimentar) representan solo el 1,1% del PBI (~USD 7.350 M). Este gasto ya existe y es reconvertible a un esquema de IBU sin costo adicional.</w:t>
      </w:r>
      <w:r>
        <w:rPr>
          <w:rStyle w:val="FootnoteReference"/>
        </w:rPr>
        <w:footnoteReference w:id="10"/>
      </w:r>
    </w:p>
    <w:p>
      <w:r>
        <w:br w:type="page"/>
      </w:r>
    </w:p>
    <w:p>
      <w:pPr>
        <w:pStyle w:val="Heading1"/>
        <w:spacing w:after="200" w:before="360"/>
      </w:pPr>
      <w:r>
        <w:rPr>
          <w:rFonts w:ascii="Arial" w:cs="Arial" w:eastAsia="Arial" w:hAnsi="Arial"/>
          <w:b/>
          <w:bCs/>
          <w:color w:val="1B4F72"/>
          <w:sz w:val="32"/>
          <w:szCs w:val="32"/>
        </w:rPr>
        <w:t xml:space="preserve">3. El Desafío: Inteligencia Artificial y Empleo</w:t>
      </w:r>
    </w:p>
    <w:p>
      <w:pPr>
        <w:pStyle w:val="Heading2"/>
        <w:spacing w:after="160" w:before="280"/>
      </w:pPr>
      <w:r>
        <w:rPr>
          <w:rFonts w:ascii="Arial" w:cs="Arial" w:eastAsia="Arial" w:hAnsi="Arial"/>
          <w:b/>
          <w:bCs/>
          <w:color w:val="2E86C1"/>
          <w:sz w:val="26"/>
          <w:szCs w:val="26"/>
        </w:rPr>
        <w:t xml:space="preserve">3.1 Proyecciones globales</w:t>
      </w:r>
    </w:p>
    <w:p>
      <w:pPr>
        <w:spacing w:after="120"/>
      </w:pPr>
      <w:r>
        <w:rPr>
          <w:rFonts w:ascii="Arial" w:cs="Arial" w:eastAsia="Arial" w:hAnsi="Arial"/>
          <w:color w:val="333333"/>
          <w:sz w:val="22"/>
          <w:szCs w:val="22"/>
        </w:rPr>
        <w:t xml:space="preserve">El Foro Económico Mundial proyecta que para 2030, la IA desplazará 92 millones de empleos globalmente y creará 170 millones nuevos (neto positivo de 78 M). Sin embargo, el 77% de los nuevos empleos requieren títulos de posgrado, mientras que los empleos desplazados requerían solo educación básica o secundaria.</w:t>
      </w:r>
      <w:r>
        <w:rPr>
          <w:rStyle w:val="FootnoteReference"/>
        </w:rPr>
        <w:footnoteReference w:id="7"/>
      </w:r>
    </w:p>
    <w:p>
      <w:pPr>
        <w:pBdr>
          <w:left w:val="single" w:color="2E86C1" w:sz="6" w:space="8"/>
        </w:pBdr>
        <w:spacing w:after="120"/>
        <w:ind w:left="720"/>
      </w:pPr>
      <w:r>
        <w:rPr>
          <w:rFonts w:ascii="Arial" w:cs="Arial" w:eastAsia="Arial" w:hAnsi="Arial"/>
          <w:i/>
          <w:iCs/>
          <w:color w:val="2E86C1"/>
          <w:sz w:val="22"/>
          <w:szCs w:val="22"/>
        </w:rPr>
        <w:t xml:space="preserve">El problema no es que desaparezcan empleos en términos netos. El problema es que quienes pierden su empleo no pueden acceder a los nuevos. Es una crisis de transición, no de destrucción.</w:t>
      </w:r>
    </w:p>
    <w:p>
      <w:pPr>
        <w:pStyle w:val="Heading2"/>
        <w:spacing w:after="160" w:before="280"/>
      </w:pPr>
      <w:r>
        <w:rPr>
          <w:rFonts w:ascii="Arial" w:cs="Arial" w:eastAsia="Arial" w:hAnsi="Arial"/>
          <w:b/>
          <w:bCs/>
          <w:color w:val="2E86C1"/>
          <w:sz w:val="26"/>
          <w:szCs w:val="26"/>
        </w:rPr>
        <w:t xml:space="preserve">3.2 Impacto específico en Argentina</w:t>
      </w:r>
    </w:p>
    <w:p>
      <w:pPr>
        <w:spacing w:after="120"/>
      </w:pPr>
      <w:r>
        <w:rPr>
          <w:rFonts w:ascii="Arial" w:cs="Arial" w:eastAsia="Arial" w:hAnsi="Arial"/>
          <w:color w:val="333333"/>
          <w:sz w:val="22"/>
          <w:szCs w:val="22"/>
        </w:rPr>
        <w:t xml:space="preserve">Según el Ministerio de Trabajo (2024), el 54% del empleo formal privado (3,01 millones de puestos) se encuentra en ocupaciones donde al menos la mitad de sus tareas podrían ser ejecutadas por IA generativa.</w:t>
      </w:r>
      <w:r>
        <w:rPr>
          <w:rStyle w:val="FootnoteReference"/>
        </w:rPr>
        <w:footnoteReference w:id="6"/>
      </w:r>
    </w:p>
    <w:p>
      <w:pPr>
        <w:spacing w:after="120"/>
      </w:pPr>
      <w:r>
        <w:rPr>
          <w:rFonts w:ascii="Arial" w:cs="Arial" w:eastAsia="Arial" w:hAnsi="Arial"/>
          <w:i w:val="false"/>
          <w:iCs w:val="false"/>
          <w:color w:val="333333"/>
          <w:sz w:val="22"/>
          <w:szCs w:val="22"/>
        </w:rPr>
        <w:t xml:space="preserve">Composición de los empleos más expuestos: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1930"/>
        <w:gridCol w:w="1930"/>
      </w:tblGrid>
      <w:tr>
        <w:tc>
          <w:tcPr>
            <w:tcW w:type="dxa" w:w="5500"/>
            <w:tcBorders>
              <w:top w:val="single" w:color="CCCCCC" w:sz="1"/>
              <w:left w:val="single" w:color="CCCCCC" w:sz="1"/>
              <w:bottom w:val="single" w:color="CCCCCC" w:sz="1"/>
              <w:right w:val="single" w:color="CCCCCC" w:sz="1"/>
            </w:tcBorders>
            <w:shd w:fill="2E86C1"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Categoría ocupacional</w:t>
            </w:r>
          </w:p>
        </w:tc>
        <w:tc>
          <w:tcPr>
            <w:tcW w:type="dxa" w:w="1930"/>
            <w:tcBorders>
              <w:top w:val="single" w:color="CCCCCC" w:sz="1"/>
              <w:left w:val="single" w:color="CCCCCC" w:sz="1"/>
              <w:bottom w:val="single" w:color="CCCCCC" w:sz="1"/>
              <w:right w:val="single" w:color="CCCCCC" w:sz="1"/>
            </w:tcBorders>
            <w:shd w:fill="2E86C1"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expuesto</w:t>
            </w:r>
          </w:p>
        </w:tc>
        <w:tc>
          <w:tcPr>
            <w:tcW w:type="dxa" w:w="1930"/>
            <w:tcBorders>
              <w:top w:val="single" w:color="CCCCCC" w:sz="1"/>
              <w:left w:val="single" w:color="CCCCCC" w:sz="1"/>
              <w:bottom w:val="single" w:color="CCCCCC" w:sz="1"/>
              <w:right w:val="single" w:color="CCCCCC" w:sz="1"/>
            </w:tcBorders>
            <w:shd w:fill="2E86C1"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Empleos est.</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Empleados de oficina</w:t>
            </w:r>
          </w:p>
        </w:tc>
        <w:tc>
          <w:tcPr>
            <w:tcW w:type="dxa" w:w="19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41%</w:t>
            </w:r>
          </w:p>
        </w:tc>
        <w:tc>
          <w:tcPr>
            <w:tcW w:type="dxa" w:w="19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~1.234.000</w:t>
            </w:r>
          </w:p>
        </w:tc>
      </w:tr>
      <w:tr>
        <w:tc>
          <w:tcPr>
            <w:tcW w:type="dxa" w:w="55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Profesionales/intelectuales</w:t>
            </w:r>
          </w:p>
        </w:tc>
        <w:tc>
          <w:tcPr>
            <w:tcW w:type="dxa" w:w="193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21%</w:t>
            </w:r>
          </w:p>
        </w:tc>
        <w:tc>
          <w:tcPr>
            <w:tcW w:type="dxa" w:w="193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~632.000</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Servicios y vendedores</w:t>
            </w:r>
          </w:p>
        </w:tc>
        <w:tc>
          <w:tcPr>
            <w:tcW w:type="dxa" w:w="19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21%</w:t>
            </w:r>
          </w:p>
        </w:tc>
        <w:tc>
          <w:tcPr>
            <w:tcW w:type="dxa" w:w="19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~632.000</w:t>
            </w:r>
          </w:p>
        </w:tc>
      </w:tr>
      <w:tr>
        <w:tc>
          <w:tcPr>
            <w:tcW w:type="dxa" w:w="55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Técnicos nivel medio</w:t>
            </w:r>
          </w:p>
        </w:tc>
        <w:tc>
          <w:tcPr>
            <w:tcW w:type="dxa" w:w="193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11%</w:t>
            </w:r>
          </w:p>
        </w:tc>
        <w:tc>
          <w:tcPr>
            <w:tcW w:type="dxa" w:w="193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~331.000</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Otros</w:t>
            </w:r>
          </w:p>
        </w:tc>
        <w:tc>
          <w:tcPr>
            <w:tcW w:type="dxa" w:w="19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6%</w:t>
            </w:r>
          </w:p>
        </w:tc>
        <w:tc>
          <w:tcPr>
            <w:tcW w:type="dxa" w:w="19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~181.000</w:t>
            </w:r>
          </w:p>
        </w:tc>
      </w:tr>
      <w:tr>
        <w:tc>
          <w:tcPr>
            <w:tcW w:type="dxa" w:w="55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left"/>
            </w:pPr>
            <w:r>
              <w:rPr>
                <w:rFonts w:ascii="Arial" w:cs="Arial" w:eastAsia="Arial" w:hAnsi="Arial"/>
                <w:b/>
                <w:bCs/>
                <w:color w:val="333333"/>
                <w:sz w:val="20"/>
                <w:szCs w:val="20"/>
              </w:rPr>
              <w:t xml:space="preserve">TOTAL EXPUESTO</w:t>
            </w:r>
          </w:p>
        </w:tc>
        <w:tc>
          <w:tcPr>
            <w:tcW w:type="dxa" w:w="193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54%</w:t>
            </w:r>
          </w:p>
        </w:tc>
        <w:tc>
          <w:tcPr>
            <w:tcW w:type="dxa" w:w="193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3.010.000</w:t>
            </w:r>
          </w:p>
        </w:tc>
      </w:tr>
    </w:tbl>
    <w:p>
      <w:pPr>
        <w:spacing w:after="200"/>
      </w:pPr>
    </w:p>
    <w:p>
      <w:pPr>
        <w:pStyle w:val="Heading2"/>
        <w:spacing w:after="160" w:before="280"/>
      </w:pPr>
      <w:r>
        <w:rPr>
          <w:rFonts w:ascii="Arial" w:cs="Arial" w:eastAsia="Arial" w:hAnsi="Arial"/>
          <w:b/>
          <w:bCs/>
          <w:color w:val="2E86C1"/>
          <w:sz w:val="26"/>
          <w:szCs w:val="26"/>
        </w:rPr>
        <w:t xml:space="preserve">3.3 Escenario gradual 2027-2035</w:t>
      </w:r>
    </w:p>
    <w:p>
      <w:pPr>
        <w:spacing w:after="120"/>
      </w:pPr>
      <w:r>
        <w:rPr>
          <w:rFonts w:ascii="Arial" w:cs="Arial" w:eastAsia="Arial" w:hAnsi="Arial"/>
          <w:i w:val="false"/>
          <w:iCs w:val="false"/>
          <w:color w:val="333333"/>
          <w:sz w:val="22"/>
          <w:szCs w:val="22"/>
        </w:rPr>
        <w:t xml:space="preserve">Modelamos un escenario donde la adopción de IA en Argentina es gradual, reflejando la realidad de que hoy solo el 31% de los trabajadores usa IA y la infraestructura digital es desigual: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Período</w:t>
            </w:r>
          </w:p>
        </w:tc>
        <w:tc>
          <w:tcPr>
            <w:tcW w:type="dxa" w:w="1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Adopción IA</w:t>
            </w:r>
          </w:p>
        </w:tc>
        <w:tc>
          <w:tcPr>
            <w:tcW w:type="dxa" w:w="1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Empleos desplaz.</w:t>
            </w:r>
          </w:p>
        </w:tc>
        <w:tc>
          <w:tcPr>
            <w:tcW w:type="dxa" w:w="1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Nuevos empleos</w:t>
            </w:r>
          </w:p>
        </w:tc>
        <w:tc>
          <w:tcPr>
            <w:tcW w:type="dxa" w:w="1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Neto</w:t>
            </w:r>
          </w:p>
        </w:tc>
        <w:tc>
          <w:tcPr>
            <w:tcW w:type="dxa" w:w="1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Personas s/IBU</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2027-2028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15-25%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~450.000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~200.000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C0392B"/>
                <w:sz w:val="20"/>
                <w:szCs w:val="20"/>
              </w:rPr>
              <w:t xml:space="preserve">-250.000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~6,5 M</w:t>
            </w:r>
          </w:p>
        </w:tc>
      </w:tr>
      <w:tr>
        <w:tc>
          <w:tcPr>
            <w:tcW w:type="dxa" w:w="15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2029-2030</w:t>
            </w:r>
          </w:p>
        </w:tc>
        <w:tc>
          <w:tcPr>
            <w:tcW w:type="dxa" w:w="15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30-40%</w:t>
            </w:r>
          </w:p>
        </w:tc>
        <w:tc>
          <w:tcPr>
            <w:tcW w:type="dxa" w:w="15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~900.000</w:t>
            </w:r>
          </w:p>
        </w:tc>
        <w:tc>
          <w:tcPr>
            <w:tcW w:type="dxa" w:w="15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~400.000</w:t>
            </w:r>
          </w:p>
        </w:tc>
        <w:tc>
          <w:tcPr>
            <w:tcW w:type="dxa" w:w="15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C0392B"/>
                <w:sz w:val="20"/>
                <w:szCs w:val="20"/>
              </w:rPr>
              <w:t xml:space="preserve">-500.000</w:t>
            </w:r>
          </w:p>
        </w:tc>
        <w:tc>
          <w:tcPr>
            <w:tcW w:type="dxa" w:w="15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~7,5 M</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2031-2033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45-55%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~1.200.000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~600.000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C0392B"/>
                <w:sz w:val="20"/>
                <w:szCs w:val="20"/>
              </w:rPr>
              <w:t xml:space="preserve">-600.000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~8 M</w:t>
            </w:r>
          </w:p>
        </w:tc>
      </w:tr>
      <w:tr>
        <w:tc>
          <w:tcPr>
            <w:tcW w:type="dxa" w:w="15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2034-2035</w:t>
            </w:r>
          </w:p>
        </w:tc>
        <w:tc>
          <w:tcPr>
            <w:tcW w:type="dxa" w:w="15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55-65%</w:t>
            </w:r>
          </w:p>
        </w:tc>
        <w:tc>
          <w:tcPr>
            <w:tcW w:type="dxa" w:w="15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~1.500.000</w:t>
            </w:r>
          </w:p>
        </w:tc>
        <w:tc>
          <w:tcPr>
            <w:tcW w:type="dxa" w:w="15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~800.000</w:t>
            </w:r>
          </w:p>
        </w:tc>
        <w:tc>
          <w:tcPr>
            <w:tcW w:type="dxa" w:w="15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C0392B"/>
                <w:sz w:val="20"/>
                <w:szCs w:val="20"/>
              </w:rPr>
              <w:t xml:space="preserve">-700.000</w:t>
            </w:r>
          </w:p>
        </w:tc>
        <w:tc>
          <w:tcPr>
            <w:tcW w:type="dxa" w:w="15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~8,5 M</w:t>
            </w:r>
          </w:p>
        </w:tc>
      </w:tr>
    </w:tbl>
    <w:p>
      <w:pPr>
        <w:spacing w:after="200"/>
      </w:pPr>
      <w:r>
        <w:rPr>
          <w:rFonts w:ascii="Arial" w:cs="Arial" w:eastAsia="Arial" w:hAnsi="Arial"/>
          <w:i w:val="false"/>
          <w:iCs w:val="false"/>
          <w:color w:val="333333"/>
          <w:sz w:val="22"/>
          <w:szCs w:val="22"/>
        </w:rPr>
        <w:t xml:space="preserve">Nota: “Personas s/IBU” incluye informales actuales + desplazados por IA que necesitarían cobertura.</w:t>
      </w:r>
    </w:p>
    <w:p>
      <w:r>
        <w:br w:type="page"/>
      </w:r>
    </w:p>
    <w:p>
      <w:pPr>
        <w:pStyle w:val="Heading1"/>
        <w:spacing w:after="200" w:before="360"/>
      </w:pPr>
      <w:r>
        <w:rPr>
          <w:rFonts w:ascii="Arial" w:cs="Arial" w:eastAsia="Arial" w:hAnsi="Arial"/>
          <w:b/>
          <w:bCs/>
          <w:color w:val="1B4F72"/>
          <w:sz w:val="32"/>
          <w:szCs w:val="32"/>
        </w:rPr>
        <w:t xml:space="preserve">4. Tres Escenarios de Ingreso Básico Universal</w:t>
      </w:r>
    </w:p>
    <w:p>
      <w:pPr>
        <w:spacing w:after="120"/>
      </w:pPr>
      <w:r>
        <w:rPr>
          <w:rFonts w:ascii="Arial" w:cs="Arial" w:eastAsia="Arial" w:hAnsi="Arial"/>
          <w:i w:val="false"/>
          <w:iCs w:val="false"/>
          <w:color w:val="333333"/>
          <w:sz w:val="22"/>
          <w:szCs w:val="22"/>
        </w:rPr>
        <w:t xml:space="preserve">Modelamos tres niveles de cobertura, cada uno con una versión universal (todos reciben) y una focalizada (solo población vulnerable). Usamos coeficientes de adulto equivalente del INDEC: menores = 0,63, adultos = 1,0, mayores = 0,83.</w:t>
      </w:r>
    </w:p>
    <w:p>
      <w:pPr>
        <w:pStyle w:val="Heading2"/>
        <w:spacing w:after="160" w:before="280"/>
      </w:pPr>
      <w:r>
        <w:rPr>
          <w:rFonts w:ascii="Arial" w:cs="Arial" w:eastAsia="Arial" w:hAnsi="Arial"/>
          <w:b/>
          <w:bCs/>
          <w:color w:val="2E86C1"/>
          <w:sz w:val="26"/>
          <w:szCs w:val="26"/>
        </w:rPr>
        <w:t xml:space="preserve">4.1 Escenario 1: Canasta Básica Alimentaria (CBA)</w:t>
      </w:r>
    </w:p>
    <w:p>
      <w:pPr>
        <w:spacing w:after="120"/>
      </w:pPr>
      <w:r>
        <w:rPr>
          <w:rFonts w:ascii="Arial" w:cs="Arial" w:eastAsia="Arial" w:hAnsi="Arial"/>
          <w:b/>
          <w:bCs/>
          <w:color w:val="333333"/>
          <w:sz w:val="22"/>
          <w:szCs w:val="22"/>
        </w:rPr>
        <w:t xml:space="preserve">Objetivo: </w:t>
      </w:r>
      <w:r>
        <w:rPr>
          <w:rFonts w:ascii="Arial" w:cs="Arial" w:eastAsia="Arial" w:hAnsi="Arial"/>
          <w:color w:val="333333"/>
          <w:sz w:val="22"/>
          <w:szCs w:val="22"/>
        </w:rPr>
        <w:t xml:space="preserve">eliminar la indigencia. Garantizar que ningún argentino pase hambre.</w:t>
      </w:r>
    </w:p>
    <w:p>
      <w:pPr>
        <w:spacing w:after="120"/>
      </w:pPr>
      <w:r>
        <w:rPr>
          <w:rFonts w:ascii="Arial" w:cs="Arial" w:eastAsia="Arial" w:hAnsi="Arial"/>
          <w:b/>
          <w:bCs/>
          <w:color w:val="333333"/>
          <w:sz w:val="22"/>
          <w:szCs w:val="22"/>
        </w:rPr>
        <w:t xml:space="preserve">Monto: </w:t>
      </w:r>
      <w:r>
        <w:rPr>
          <w:rFonts w:ascii="Arial" w:cs="Arial" w:eastAsia="Arial" w:hAnsi="Arial"/>
          <w:color w:val="333333"/>
          <w:sz w:val="22"/>
          <w:szCs w:val="22"/>
        </w:rPr>
        <w:t xml:space="preserve">USD 127/mes por adulto equivalente (ARS 190.780).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
            </w:r>
          </w:p>
        </w:tc>
        <w:tc>
          <w:tcPr>
            <w:tcW w:type="dxa" w:w="20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Población</w:t>
            </w:r>
          </w:p>
        </w:tc>
        <w:tc>
          <w:tcPr>
            <w:tcW w:type="dxa" w:w="20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Costo anual</w:t>
            </w:r>
          </w:p>
        </w:tc>
        <w:tc>
          <w:tcPr>
            <w:tcW w:type="dxa" w:w="20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 PBI</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Menores (coef. 0,63)</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12,3 M</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USD 11.809 M</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1,8%</w:t>
            </w:r>
          </w:p>
        </w:tc>
      </w:tr>
      <w:tr>
        <w:tc>
          <w:tcPr>
            <w:tcW w:type="dxa" w:w="312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Adultos (coef. 1,0)</w:t>
            </w:r>
          </w:p>
        </w:tc>
        <w:tc>
          <w:tcPr>
            <w:tcW w:type="dxa" w:w="208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27,5 M</w:t>
            </w:r>
          </w:p>
        </w:tc>
        <w:tc>
          <w:tcPr>
            <w:tcW w:type="dxa" w:w="208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USD 41.910 M</w:t>
            </w:r>
          </w:p>
        </w:tc>
        <w:tc>
          <w:tcPr>
            <w:tcW w:type="dxa" w:w="208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6,3%</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Mayores (coef. 0,83)</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6,7 M</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USD 8.475 M</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1,3%</w:t>
            </w:r>
          </w:p>
        </w:tc>
      </w:tr>
      <w:tr>
        <w:tc>
          <w:tcPr>
            <w:tcW w:type="dxa" w:w="312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left"/>
            </w:pPr>
            <w:r>
              <w:rPr>
                <w:rFonts w:ascii="Arial" w:cs="Arial" w:eastAsia="Arial" w:hAnsi="Arial"/>
                <w:b/>
                <w:bCs/>
                <w:color w:val="333333"/>
                <w:sz w:val="20"/>
                <w:szCs w:val="20"/>
              </w:rPr>
              <w:t xml:space="preserve">TOTAL UNIVERSAL</w:t>
            </w:r>
          </w:p>
        </w:tc>
        <w:tc>
          <w:tcPr>
            <w:tcW w:type="dxa" w:w="208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46,5 M</w:t>
            </w:r>
          </w:p>
        </w:tc>
        <w:tc>
          <w:tcPr>
            <w:tcW w:type="dxa" w:w="208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USD 62.194 M</w:t>
            </w:r>
          </w:p>
        </w:tc>
        <w:tc>
          <w:tcPr>
            <w:tcW w:type="dxa" w:w="208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9,3%</w:t>
            </w:r>
          </w:p>
        </w:tc>
      </w:tr>
      <w:tr>
        <w:tc>
          <w:tcPr>
            <w:tcW w:type="dxa" w:w="312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b/>
                <w:bCs/>
                <w:color w:val="333333"/>
                <w:sz w:val="20"/>
                <w:szCs w:val="20"/>
              </w:rPr>
              <w:t xml:space="preserve">FOCALIZADO (~55% adultos)</w:t>
            </w:r>
          </w:p>
        </w:tc>
        <w:tc>
          <w:tcPr>
            <w:tcW w:type="dxa" w:w="208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~29 M</w:t>
            </w:r>
          </w:p>
        </w:tc>
        <w:tc>
          <w:tcPr>
            <w:tcW w:type="dxa" w:w="208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USD 43.335 M</w:t>
            </w:r>
          </w:p>
        </w:tc>
        <w:tc>
          <w:tcPr>
            <w:tcW w:type="dxa" w:w="208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6,5%</w:t>
            </w:r>
          </w:p>
        </w:tc>
      </w:tr>
    </w:tbl>
    <w:p>
      <w:pPr>
        <w:spacing w:after="120"/>
      </w:pPr>
      <w:r>
        <w:rPr>
          <w:rFonts w:ascii="Arial" w:cs="Arial" w:eastAsia="Arial" w:hAnsi="Arial"/>
          <w:b/>
          <w:bCs/>
          <w:color w:val="333333"/>
          <w:sz w:val="22"/>
          <w:szCs w:val="22"/>
        </w:rPr>
        <w:t xml:space="preserve">Costo neto (descontando programas reconvertibles): </w:t>
      </w:r>
      <w:r>
        <w:rPr>
          <w:rFonts w:ascii="Arial" w:cs="Arial" w:eastAsia="Arial" w:hAnsi="Arial"/>
          <w:color w:val="333333"/>
          <w:sz w:val="22"/>
          <w:szCs w:val="22"/>
        </w:rPr>
        <w:t xml:space="preserve">USD 35.987 M (5,4% PBI).</w:t>
      </w:r>
    </w:p>
    <w:p>
      <w:pPr>
        <w:pStyle w:val="Heading2"/>
        <w:spacing w:after="160" w:before="280"/>
      </w:pPr>
      <w:r>
        <w:rPr>
          <w:rFonts w:ascii="Arial" w:cs="Arial" w:eastAsia="Arial" w:hAnsi="Arial"/>
          <w:b/>
          <w:bCs/>
          <w:color w:val="2E86C1"/>
          <w:sz w:val="26"/>
          <w:szCs w:val="26"/>
        </w:rPr>
        <w:t xml:space="preserve">4.2 Escenario 2: Canasta Básica Total (CBT)</w:t>
      </w:r>
    </w:p>
    <w:p>
      <w:pPr>
        <w:spacing w:after="120"/>
      </w:pPr>
      <w:r>
        <w:rPr>
          <w:rFonts w:ascii="Arial" w:cs="Arial" w:eastAsia="Arial" w:hAnsi="Arial"/>
          <w:b/>
          <w:bCs/>
          <w:color w:val="333333"/>
          <w:sz w:val="22"/>
          <w:szCs w:val="22"/>
        </w:rPr>
        <w:t xml:space="preserve">Objetivo: </w:t>
      </w:r>
      <w:r>
        <w:rPr>
          <w:rFonts w:ascii="Arial" w:cs="Arial" w:eastAsia="Arial" w:hAnsi="Arial"/>
          <w:color w:val="333333"/>
          <w:sz w:val="22"/>
          <w:szCs w:val="22"/>
        </w:rPr>
        <w:t xml:space="preserve">eliminar la pobreza por ingreso.</w:t>
      </w:r>
    </w:p>
    <w:p>
      <w:pPr>
        <w:spacing w:after="120"/>
      </w:pPr>
      <w:r>
        <w:rPr>
          <w:rFonts w:ascii="Arial" w:cs="Arial" w:eastAsia="Arial" w:hAnsi="Arial"/>
          <w:b/>
          <w:bCs/>
          <w:color w:val="333333"/>
          <w:sz w:val="22"/>
          <w:szCs w:val="22"/>
        </w:rPr>
        <w:t xml:space="preserve">Monto: </w:t>
      </w:r>
      <w:r>
        <w:rPr>
          <w:rFonts w:ascii="Arial" w:cs="Arial" w:eastAsia="Arial" w:hAnsi="Arial"/>
          <w:color w:val="333333"/>
          <w:sz w:val="22"/>
          <w:szCs w:val="22"/>
        </w:rPr>
        <w:t xml:space="preserve">USD 282/mes por adulto equivalente (ARS 423.532).</w:t>
      </w:r>
    </w:p>
    <w:p>
      <w:pPr>
        <w:spacing w:after="120"/>
      </w:pPr>
      <w:r>
        <w:rPr>
          <w:rFonts w:ascii="Arial" w:cs="Arial" w:eastAsia="Arial" w:hAnsi="Arial"/>
          <w:b/>
          <w:bCs/>
          <w:color w:val="333333"/>
          <w:sz w:val="22"/>
          <w:szCs w:val="22"/>
        </w:rPr>
        <w:t xml:space="preserve">Costo bruto universal: </w:t>
      </w:r>
      <w:r>
        <w:rPr>
          <w:rFonts w:ascii="Arial" w:cs="Arial" w:eastAsia="Arial" w:hAnsi="Arial"/>
          <w:color w:val="333333"/>
          <w:sz w:val="22"/>
          <w:szCs w:val="22"/>
        </w:rPr>
        <w:t xml:space="preserve">USD 138.101 M (20,7% PBI).</w:t>
      </w:r>
    </w:p>
    <w:p>
      <w:pPr>
        <w:spacing w:after="120"/>
      </w:pPr>
      <w:r>
        <w:rPr>
          <w:rFonts w:ascii="Arial" w:cs="Arial" w:eastAsia="Arial" w:hAnsi="Arial"/>
          <w:b/>
          <w:bCs/>
          <w:color w:val="333333"/>
          <w:sz w:val="22"/>
          <w:szCs w:val="22"/>
        </w:rPr>
        <w:t xml:space="preserve">Costo bruto focalizado: </w:t>
      </w:r>
      <w:r>
        <w:rPr>
          <w:rFonts w:ascii="Arial" w:cs="Arial" w:eastAsia="Arial" w:hAnsi="Arial"/>
          <w:color w:val="333333"/>
          <w:sz w:val="22"/>
          <w:szCs w:val="22"/>
        </w:rPr>
        <w:t xml:space="preserve">USD 96.224 M (14,4% PBI).</w:t>
      </w:r>
    </w:p>
    <w:p>
      <w:pPr>
        <w:spacing w:after="120"/>
      </w:pPr>
      <w:r>
        <w:rPr>
          <w:rFonts w:ascii="Arial" w:cs="Arial" w:eastAsia="Arial" w:hAnsi="Arial"/>
          <w:b/>
          <w:bCs/>
          <w:color w:val="333333"/>
          <w:sz w:val="22"/>
          <w:szCs w:val="22"/>
        </w:rPr>
        <w:t xml:space="preserve">Costo neto focalizado: </w:t>
      </w:r>
      <w:r>
        <w:rPr>
          <w:rFonts w:ascii="Arial" w:cs="Arial" w:eastAsia="Arial" w:hAnsi="Arial"/>
          <w:color w:val="333333"/>
          <w:sz w:val="22"/>
          <w:szCs w:val="22"/>
        </w:rPr>
        <w:t xml:space="preserve">USD 88.876 M (13,3% PBI).</w:t>
      </w:r>
    </w:p>
    <w:p>
      <w:pPr>
        <w:pStyle w:val="Heading2"/>
        <w:spacing w:after="160" w:before="280"/>
      </w:pPr>
      <w:r>
        <w:rPr>
          <w:rFonts w:ascii="Arial" w:cs="Arial" w:eastAsia="Arial" w:hAnsi="Arial"/>
          <w:b/>
          <w:bCs/>
          <w:color w:val="2E86C1"/>
          <w:sz w:val="26"/>
          <w:szCs w:val="26"/>
        </w:rPr>
        <w:t xml:space="preserve">4.3 Escenario 3: CBT + Vivienda</w:t>
      </w:r>
    </w:p>
    <w:p>
      <w:pPr>
        <w:spacing w:after="120"/>
      </w:pPr>
      <w:r>
        <w:rPr>
          <w:rFonts w:ascii="Arial" w:cs="Arial" w:eastAsia="Arial" w:hAnsi="Arial"/>
          <w:b/>
          <w:bCs/>
          <w:color w:val="333333"/>
          <w:sz w:val="22"/>
          <w:szCs w:val="22"/>
        </w:rPr>
        <w:t xml:space="preserve">Objetivo: </w:t>
      </w:r>
      <w:r>
        <w:rPr>
          <w:rFonts w:ascii="Arial" w:cs="Arial" w:eastAsia="Arial" w:hAnsi="Arial"/>
          <w:color w:val="333333"/>
          <w:sz w:val="22"/>
          <w:szCs w:val="22"/>
        </w:rPr>
        <w:t xml:space="preserve">pobreza cero + vivienda digna para todos.</w:t>
      </w:r>
    </w:p>
    <w:p>
      <w:pPr>
        <w:spacing w:after="120"/>
      </w:pPr>
      <w:r>
        <w:rPr>
          <w:rFonts w:ascii="Arial" w:cs="Arial" w:eastAsia="Arial" w:hAnsi="Arial"/>
          <w:b/>
          <w:bCs/>
          <w:color w:val="333333"/>
          <w:sz w:val="22"/>
          <w:szCs w:val="22"/>
        </w:rPr>
        <w:t xml:space="preserve">Monto: </w:t>
      </w:r>
      <w:r>
        <w:rPr>
          <w:rFonts w:ascii="Arial" w:cs="Arial" w:eastAsia="Arial" w:hAnsi="Arial"/>
          <w:color w:val="333333"/>
          <w:sz w:val="22"/>
          <w:szCs w:val="22"/>
        </w:rPr>
        <w:t xml:space="preserve">USD 282/mes (CBT) + USD 150/mes por hogar (vivienda).</w:t>
      </w:r>
    </w:p>
    <w:p>
      <w:pPr>
        <w:spacing w:after="120"/>
      </w:pPr>
      <w:r>
        <w:rPr>
          <w:rFonts w:ascii="Arial" w:cs="Arial" w:eastAsia="Arial" w:hAnsi="Arial"/>
          <w:b/>
          <w:bCs/>
          <w:color w:val="333333"/>
          <w:sz w:val="22"/>
          <w:szCs w:val="22"/>
        </w:rPr>
        <w:t xml:space="preserve">Costo bruto (incluye componente vivienda para 14,1 M hogares): </w:t>
      </w:r>
      <w:r>
        <w:rPr>
          <w:rFonts w:ascii="Arial" w:cs="Arial" w:eastAsia="Arial" w:hAnsi="Arial"/>
          <w:color w:val="333333"/>
          <w:sz w:val="22"/>
          <w:szCs w:val="22"/>
        </w:rPr>
        <w:t xml:space="preserve">USD 163.465 M (24,5% PBI).</w:t>
      </w:r>
    </w:p>
    <w:p>
      <w:pPr>
        <w:spacing w:after="120"/>
      </w:pPr>
      <w:r>
        <w:rPr>
          <w:rFonts w:ascii="Arial" w:cs="Arial" w:eastAsia="Arial" w:hAnsi="Arial"/>
          <w:b/>
          <w:bCs/>
          <w:color w:val="333333"/>
          <w:sz w:val="22"/>
          <w:szCs w:val="22"/>
        </w:rPr>
        <w:t xml:space="preserve">Costo neto focalizado: </w:t>
      </w:r>
      <w:r>
        <w:rPr>
          <w:rFonts w:ascii="Arial" w:cs="Arial" w:eastAsia="Arial" w:hAnsi="Arial"/>
          <w:color w:val="333333"/>
          <w:sz w:val="22"/>
          <w:szCs w:val="22"/>
        </w:rPr>
        <w:t xml:space="preserve">USD 99.021 M (14,8% PBI).</w:t>
      </w:r>
    </w:p>
    <w:p>
      <w:pPr>
        <w:pStyle w:val="Heading2"/>
        <w:spacing w:after="160" w:before="280"/>
      </w:pPr>
      <w:r>
        <w:rPr>
          <w:rFonts w:ascii="Arial" w:cs="Arial" w:eastAsia="Arial" w:hAnsi="Arial"/>
          <w:b/>
          <w:bCs/>
          <w:color w:val="2E86C1"/>
          <w:sz w:val="26"/>
          <w:szCs w:val="26"/>
        </w:rPr>
        <w:t xml:space="preserve">4.4 Análisis de factibilidad</w:t>
      </w:r>
    </w:p>
    <w:p>
      <w:pPr>
        <w:spacing w:after="120"/>
      </w:pPr>
      <w:r>
        <w:rPr>
          <w:rFonts w:ascii="Arial" w:cs="Arial" w:eastAsia="Arial" w:hAnsi="Arial"/>
          <w:i w:val="false"/>
          <w:iCs w:val="false"/>
          <w:color w:val="333333"/>
          <w:sz w:val="22"/>
          <w:szCs w:val="22"/>
        </w:rPr>
        <w:t xml:space="preserve">Los números son claros: un IBU verdaderamente universal a nivel de CBT costaría ~20% del PBI, lo cual no es viable en el corto plazo. Sin embargo, un esquema de Ingreso Garantizado Progresivo que combine universalidad para menores y mayores con focalización para adultos en edad laboral reduce el costo al 5-7% del PBI, que sí es financiable.</w:t>
      </w:r>
    </w:p>
    <w:p>
      <w:pPr>
        <w:pBdr>
          <w:left w:val="single" w:color="2E86C1" w:sz="6" w:space="8"/>
        </w:pBdr>
        <w:spacing w:after="120"/>
        <w:ind w:left="720"/>
      </w:pPr>
      <w:r>
        <w:rPr>
          <w:rFonts w:ascii="Arial" w:cs="Arial" w:eastAsia="Arial" w:hAnsi="Arial"/>
          <w:i/>
          <w:iCs/>
          <w:color w:val="2E86C1"/>
          <w:sz w:val="22"/>
          <w:szCs w:val="22"/>
        </w:rPr>
        <w:t xml:space="preserve">La clave no es elegir entre universal y focalizado. Es diseñar un sistema que sea universal en su lógica (derecho de todos) pero progresivo en su implementación (más a quien más necesita).</w:t>
      </w:r>
    </w:p>
    <w:p>
      <w:r>
        <w:br w:type="page"/>
      </w:r>
    </w:p>
    <w:p>
      <w:pPr>
        <w:pStyle w:val="Heading1"/>
        <w:spacing w:after="200" w:before="360"/>
      </w:pPr>
      <w:r>
        <w:rPr>
          <w:rFonts w:ascii="Arial" w:cs="Arial" w:eastAsia="Arial" w:hAnsi="Arial"/>
          <w:b/>
          <w:bCs/>
          <w:color w:val="1B4F72"/>
          <w:sz w:val="32"/>
          <w:szCs w:val="32"/>
        </w:rPr>
        <w:t xml:space="preserve">5. Fuentes de Financiamiento Progresivo</w:t>
      </w:r>
    </w:p>
    <w:p>
      <w:pPr>
        <w:spacing w:after="120"/>
      </w:pPr>
      <w:r>
        <w:rPr>
          <w:rFonts w:ascii="Arial" w:cs="Arial" w:eastAsia="Arial" w:hAnsi="Arial"/>
          <w:i w:val="false"/>
          <w:iCs w:val="false"/>
          <w:color w:val="333333"/>
          <w:sz w:val="22"/>
          <w:szCs w:val="22"/>
        </w:rPr>
        <w:t xml:space="preserve">Combinamos las fuentes ya modeladas en el documento de reforma tributaria con nuevas fuentes específicas para el IBU.</w:t>
      </w:r>
    </w:p>
    <w:p>
      <w:pPr>
        <w:pStyle w:val="Heading2"/>
        <w:spacing w:after="160" w:before="280"/>
      </w:pPr>
      <w:r>
        <w:rPr>
          <w:rFonts w:ascii="Arial" w:cs="Arial" w:eastAsia="Arial" w:hAnsi="Arial"/>
          <w:b/>
          <w:bCs/>
          <w:color w:val="2E86C1"/>
          <w:sz w:val="26"/>
          <w:szCs w:val="26"/>
        </w:rPr>
        <w:t xml:space="preserve">5.1 Reforma tributaria progresiva (ya modelada)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Fuente</w:t>
            </w:r>
          </w:p>
        </w:tc>
        <w:tc>
          <w:tcPr>
            <w:tcW w:type="dxa" w:w="26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Conservador</w:t>
            </w:r>
          </w:p>
        </w:tc>
        <w:tc>
          <w:tcPr>
            <w:tcW w:type="dxa" w:w="26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Optimista</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Reducción evas. BBPP</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USD 450 M</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USD 800 M</w:t>
            </w:r>
          </w:p>
        </w:tc>
      </w:tr>
      <w:tr>
        <w:tc>
          <w:tcPr>
            <w:tcW w:type="dxa" w:w="4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Imp. grandes fortunas</w:t>
            </w:r>
          </w:p>
        </w:tc>
        <w:tc>
          <w:tcPr>
            <w:tcW w:type="dxa" w:w="268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USD 4.700 M</w:t>
            </w:r>
          </w:p>
        </w:tc>
        <w:tc>
          <w:tcPr>
            <w:tcW w:type="dxa" w:w="268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USD 6.680 M</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Imp. herencia nacional</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USD 1.000 M</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USD 2.000 M</w:t>
            </w:r>
          </w:p>
        </w:tc>
      </w:tr>
      <w:tr>
        <w:tc>
          <w:tcPr>
            <w:tcW w:type="dxa" w:w="4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b/>
                <w:bCs/>
                <w:color w:val="333333"/>
                <w:sz w:val="20"/>
                <w:szCs w:val="20"/>
              </w:rPr>
              <w:t xml:space="preserve">Subtotal</w:t>
            </w:r>
          </w:p>
        </w:tc>
        <w:tc>
          <w:tcPr>
            <w:tcW w:type="dxa" w:w="268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USD 6.150 M</w:t>
            </w:r>
          </w:p>
        </w:tc>
        <w:tc>
          <w:tcPr>
            <w:tcW w:type="dxa" w:w="268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USD 9.480 M</w:t>
            </w:r>
          </w:p>
        </w:tc>
      </w:tr>
    </w:tbl>
    <w:p>
      <w:pPr>
        <w:spacing w:after="200"/>
      </w:pPr>
    </w:p>
    <w:p>
      <w:pPr>
        <w:pStyle w:val="Heading2"/>
        <w:spacing w:after="160" w:before="280"/>
      </w:pPr>
      <w:r>
        <w:rPr>
          <w:rFonts w:ascii="Arial" w:cs="Arial" w:eastAsia="Arial" w:hAnsi="Arial"/>
          <w:b/>
          <w:bCs/>
          <w:color w:val="2E86C1"/>
          <w:sz w:val="26"/>
          <w:szCs w:val="26"/>
        </w:rPr>
        <w:t xml:space="preserve">5.2 Nuevas fuentes para el IBU</w:t>
      </w:r>
    </w:p>
    <w:p>
      <w:pPr>
        <w:spacing w:after="120" w:before="200"/>
      </w:pPr>
      <w:r>
        <w:rPr>
          <w:rFonts w:ascii="Arial" w:cs="Arial" w:eastAsia="Arial" w:hAnsi="Arial"/>
          <w:b/>
          <w:bCs/>
          <w:color w:val="1B4F72"/>
          <w:sz w:val="22"/>
          <w:szCs w:val="22"/>
        </w:rPr>
        <w:t xml:space="preserve">Impuesto a la automatización (Robot Tax)</w:t>
      </w:r>
    </w:p>
    <w:p>
      <w:pPr>
        <w:spacing w:after="120"/>
      </w:pPr>
      <w:r>
        <w:rPr>
          <w:rFonts w:ascii="Arial" w:cs="Arial" w:eastAsia="Arial" w:hAnsi="Arial"/>
          <w:color w:val="333333"/>
          <w:sz w:val="22"/>
          <w:szCs w:val="22"/>
        </w:rPr>
        <w:t xml:space="preserve">El concepto es simple: si una empresa reemplaza trabajadores con IA, debe contribuir con un porcentaje del ahorro salarial neto a un fondo de IBU. Proponemos una alícuota del 3-5% sobre el ahorro salarial demostrable por automatización. Con 3 millones de empleos expuestos y un ahorro promedio de USD 15.000/año por puesto, la base imponible teórica es USD 45.000 M. Con adopción gradual (10% a 50% en 5 años), la recaudación crece de USD 135 M a USD 1.125 M/año.</w:t>
      </w:r>
      <w:r>
        <w:rPr>
          <w:rStyle w:val="FootnoteReference"/>
        </w:rPr>
        <w:footnoteReference w:id="12"/>
      </w:r>
    </w:p>
    <w:p>
      <w:pPr>
        <w:spacing w:after="120" w:before="200"/>
      </w:pPr>
      <w:r>
        <w:rPr>
          <w:rFonts w:ascii="Arial" w:cs="Arial" w:eastAsia="Arial" w:hAnsi="Arial"/>
          <w:b/>
          <w:bCs/>
          <w:color w:val="1B4F72"/>
          <w:sz w:val="22"/>
          <w:szCs w:val="22"/>
        </w:rPr>
        <w:t xml:space="preserve">Impuesto a servicios digitales ampliado</w:t>
      </w:r>
    </w:p>
    <w:p>
      <w:pPr>
        <w:spacing w:after="120"/>
      </w:pPr>
      <w:r>
        <w:rPr>
          <w:rFonts w:ascii="Arial" w:cs="Arial" w:eastAsia="Arial" w:hAnsi="Arial"/>
          <w:i w:val="false"/>
          <w:iCs w:val="false"/>
          <w:color w:val="333333"/>
          <w:sz w:val="22"/>
          <w:szCs w:val="22"/>
        </w:rPr>
        <w:t xml:space="preserve">Expandir el impuesto existente al 8-15% sobre ingresos de plataformas tecnológicas que operan en Argentina (Google, Meta, Amazon, Mercado Libre, etc.). Con un mercado digital de ~USD 12.000 M, la recaudación estimada es USD 960-1.800 M/año.</w:t>
      </w:r>
    </w:p>
    <w:p>
      <w:pPr>
        <w:spacing w:after="120" w:before="200"/>
      </w:pPr>
      <w:r>
        <w:rPr>
          <w:rFonts w:ascii="Arial" w:cs="Arial" w:eastAsia="Arial" w:hAnsi="Arial"/>
          <w:b/>
          <w:bCs/>
          <w:color w:val="1B4F72"/>
          <w:sz w:val="22"/>
          <w:szCs w:val="22"/>
        </w:rPr>
        <w:t xml:space="preserve">Regalías sobre recursos naturales</w:t>
      </w:r>
    </w:p>
    <w:p>
      <w:pPr>
        <w:spacing w:after="120"/>
      </w:pPr>
      <w:r>
        <w:rPr>
          <w:rFonts w:ascii="Arial" w:cs="Arial" w:eastAsia="Arial" w:hAnsi="Arial"/>
          <w:i w:val="false"/>
          <w:iCs w:val="false"/>
          <w:color w:val="333333"/>
          <w:sz w:val="22"/>
          <w:szCs w:val="22"/>
        </w:rPr>
        <w:t xml:space="preserve">Argentina tiene litio (triángulo del litio), Vaca Muerta (gas y petróleo), y es potencia agroexportadora. Revisar las regalías mineras del 3% actual al 8-12% (estándar internacional) y destinar la diferencia al fondo IBU. Estimación: USD 1.500-3.000 M/año.</w:t>
      </w:r>
    </w:p>
    <w:p>
      <w:pPr>
        <w:spacing w:after="120" w:before="200"/>
      </w:pPr>
      <w:r>
        <w:rPr>
          <w:rFonts w:ascii="Arial" w:cs="Arial" w:eastAsia="Arial" w:hAnsi="Arial"/>
          <w:b/>
          <w:bCs/>
          <w:color w:val="1B4F72"/>
          <w:sz w:val="22"/>
          <w:szCs w:val="22"/>
        </w:rPr>
        <w:t xml:space="preserve">Impuesto al carbono</w:t>
      </w:r>
    </w:p>
    <w:p>
      <w:pPr>
        <w:spacing w:after="120"/>
      </w:pPr>
      <w:r>
        <w:rPr>
          <w:rFonts w:ascii="Arial" w:cs="Arial" w:eastAsia="Arial" w:hAnsi="Arial"/>
          <w:i w:val="false"/>
          <w:iCs w:val="false"/>
          <w:color w:val="333333"/>
          <w:sz w:val="22"/>
          <w:szCs w:val="22"/>
        </w:rPr>
        <w:t xml:space="preserve">Argentina emite ~180 MtCO2e/año. Un precio del carbono de USD 25-50/tCO2 (dentro del rango recomendado por el Banco Mundial) generaría USD 1.800-3.600 M/año, incentivando además la transición energética.</w:t>
      </w:r>
    </w:p>
    <w:p>
      <w:pPr>
        <w:spacing w:after="120" w:before="200"/>
      </w:pPr>
      <w:r>
        <w:rPr>
          <w:rFonts w:ascii="Arial" w:cs="Arial" w:eastAsia="Arial" w:hAnsi="Arial"/>
          <w:b/>
          <w:bCs/>
          <w:color w:val="1B4F72"/>
          <w:sz w:val="22"/>
          <w:szCs w:val="22"/>
        </w:rPr>
        <w:t xml:space="preserve">Tasa Tobin (transacciones financieras)</w:t>
      </w:r>
    </w:p>
    <w:p>
      <w:pPr>
        <w:spacing w:after="120"/>
      </w:pPr>
      <w:r>
        <w:rPr>
          <w:rFonts w:ascii="Arial" w:cs="Arial" w:eastAsia="Arial" w:hAnsi="Arial"/>
          <w:i w:val="false"/>
          <w:iCs w:val="false"/>
          <w:color w:val="333333"/>
          <w:sz w:val="22"/>
          <w:szCs w:val="22"/>
        </w:rPr>
        <w:t xml:space="preserve">Una tasa del 0,01-0,05% sobre transacciones bursátiles de alta frecuencia (volumen estimado ~USD 500.000 M/año) generaría USD 50-250 M/año con impacto mínimo en el mercado.</w:t>
      </w:r>
    </w:p>
    <w:p>
      <w:pPr>
        <w:pStyle w:val="Heading2"/>
        <w:spacing w:after="160" w:before="280"/>
      </w:pPr>
      <w:r>
        <w:rPr>
          <w:rFonts w:ascii="Arial" w:cs="Arial" w:eastAsia="Arial" w:hAnsi="Arial"/>
          <w:b/>
          <w:bCs/>
          <w:color w:val="2E86C1"/>
          <w:sz w:val="26"/>
          <w:szCs w:val="26"/>
        </w:rPr>
        <w:t xml:space="preserve">5.3 Resumen de financiamiento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Fuente</w:t>
            </w:r>
          </w:p>
        </w:tc>
        <w:tc>
          <w:tcPr>
            <w:tcW w:type="dxa" w:w="26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Conservador</w:t>
            </w:r>
          </w:p>
        </w:tc>
        <w:tc>
          <w:tcPr>
            <w:tcW w:type="dxa" w:w="26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Optimista</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Reforma tributaria progresiva</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USD 6.150 M</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USD 9.480 M</w:t>
            </w:r>
          </w:p>
        </w:tc>
      </w:tr>
      <w:tr>
        <w:tc>
          <w:tcPr>
            <w:tcW w:type="dxa" w:w="4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Robot Tax</w:t>
            </w:r>
          </w:p>
        </w:tc>
        <w:tc>
          <w:tcPr>
            <w:tcW w:type="dxa" w:w="268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USD 135 M</w:t>
            </w:r>
          </w:p>
        </w:tc>
        <w:tc>
          <w:tcPr>
            <w:tcW w:type="dxa" w:w="268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USD 1.125 M</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Servicios digitales</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USD 960 M</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USD 1.800 M</w:t>
            </w:r>
          </w:p>
        </w:tc>
      </w:tr>
      <w:tr>
        <w:tc>
          <w:tcPr>
            <w:tcW w:type="dxa" w:w="4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Regalías recursos naturales</w:t>
            </w:r>
          </w:p>
        </w:tc>
        <w:tc>
          <w:tcPr>
            <w:tcW w:type="dxa" w:w="268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USD 1.500 M</w:t>
            </w:r>
          </w:p>
        </w:tc>
        <w:tc>
          <w:tcPr>
            <w:tcW w:type="dxa" w:w="268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USD 3.000 M</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Carbon tax</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USD 1.800 M</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USD 3.600 M</w:t>
            </w:r>
          </w:p>
        </w:tc>
      </w:tr>
      <w:tr>
        <w:tc>
          <w:tcPr>
            <w:tcW w:type="dxa" w:w="4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Tasa Tobin</w:t>
            </w:r>
          </w:p>
        </w:tc>
        <w:tc>
          <w:tcPr>
            <w:tcW w:type="dxa" w:w="268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USD 50 M</w:t>
            </w:r>
          </w:p>
        </w:tc>
        <w:tc>
          <w:tcPr>
            <w:tcW w:type="dxa" w:w="268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USD 250 M</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Reconversión programas existentes</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USD 7.348 M</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USD 7.348 M</w:t>
            </w:r>
          </w:p>
        </w:tc>
      </w:tr>
      <w:tr>
        <w:tc>
          <w:tcPr>
            <w:tcW w:type="dxa" w:w="4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b/>
                <w:bCs/>
                <w:color w:val="333333"/>
                <w:sz w:val="20"/>
                <w:szCs w:val="20"/>
              </w:rPr>
              <w:t xml:space="preserve">TOTAL DISPONIBLE</w:t>
            </w:r>
          </w:p>
        </w:tc>
        <w:tc>
          <w:tcPr>
            <w:tcW w:type="dxa" w:w="268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USD 17.943 M</w:t>
            </w:r>
          </w:p>
        </w:tc>
        <w:tc>
          <w:tcPr>
            <w:tcW w:type="dxa" w:w="268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USD 26.603 M</w:t>
            </w:r>
          </w:p>
        </w:tc>
      </w:tr>
      <w:tr>
        <w:tc>
          <w:tcPr>
            <w:tcW w:type="dxa" w:w="4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b/>
                <w:bCs/>
                <w:color w:val="333333"/>
                <w:sz w:val="20"/>
                <w:szCs w:val="20"/>
              </w:rPr>
              <w:t xml:space="preserve">% del PBI</w:t>
            </w:r>
          </w:p>
        </w:tc>
        <w:tc>
          <w:tcPr>
            <w:tcW w:type="dxa" w:w="268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2,7%</w:t>
            </w:r>
          </w:p>
        </w:tc>
        <w:tc>
          <w:tcPr>
            <w:tcW w:type="dxa" w:w="268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4,0%</w:t>
            </w:r>
          </w:p>
        </w:tc>
      </w:tr>
    </w:tbl>
    <w:p>
      <w:pPr>
        <w:spacing w:after="200"/>
      </w:pPr>
    </w:p>
    <w:p>
      <w:r>
        <w:br w:type="page"/>
      </w:r>
    </w:p>
    <w:p>
      <w:pPr>
        <w:pStyle w:val="Heading1"/>
        <w:spacing w:after="200" w:before="360"/>
      </w:pPr>
      <w:r>
        <w:rPr>
          <w:rFonts w:ascii="Arial" w:cs="Arial" w:eastAsia="Arial" w:hAnsi="Arial"/>
          <w:b/>
          <w:bCs/>
          <w:color w:val="1B4F72"/>
          <w:sz w:val="32"/>
          <w:szCs w:val="32"/>
        </w:rPr>
        <w:t xml:space="preserve">6. Estrategia de Implementación: Ingreso Garantizado Progresivo</w:t>
      </w:r>
    </w:p>
    <w:p>
      <w:pPr>
        <w:spacing w:after="120"/>
      </w:pPr>
      <w:r>
        <w:rPr>
          <w:rFonts w:ascii="Arial" w:cs="Arial" w:eastAsia="Arial" w:hAnsi="Arial"/>
          <w:i w:val="false"/>
          <w:iCs w:val="false"/>
          <w:color w:val="333333"/>
          <w:sz w:val="22"/>
          <w:szCs w:val="22"/>
        </w:rPr>
        <w:t xml:space="preserve">El análisis de costos muestra que un IBU universal a nivel CBT no es viable en el corto plazo (costaría 20% del PBI). Pero la implementación gradual sí lo es. Proponemos un “Ingreso Garantizado Progresivo” (IGP) con las siguientes características:</w:t>
      </w:r>
    </w:p>
    <w:p>
      <w:pPr>
        <w:pStyle w:val="Heading2"/>
        <w:spacing w:after="160" w:before="280"/>
      </w:pPr>
      <w:r>
        <w:rPr>
          <w:rFonts w:ascii="Arial" w:cs="Arial" w:eastAsia="Arial" w:hAnsi="Arial"/>
          <w:b/>
          <w:bCs/>
          <w:color w:val="2E86C1"/>
          <w:sz w:val="26"/>
          <w:szCs w:val="26"/>
        </w:rPr>
        <w:t xml:space="preserve">6.1 Diseño del IGP</w:t>
      </w:r>
    </w:p>
    <w:p>
      <w:pPr>
        <w:spacing w:after="120"/>
      </w:pPr>
      <w:r>
        <w:rPr>
          <w:rFonts w:ascii="Arial" w:cs="Arial" w:eastAsia="Arial" w:hAnsi="Arial"/>
          <w:b/>
          <w:bCs/>
          <w:color w:val="333333"/>
          <w:sz w:val="22"/>
          <w:szCs w:val="22"/>
        </w:rPr>
        <w:t xml:space="preserve">Piso universal para menores: </w:t>
      </w:r>
      <w:r>
        <w:rPr>
          <w:rFonts w:ascii="Arial" w:cs="Arial" w:eastAsia="Arial" w:hAnsi="Arial"/>
          <w:color w:val="333333"/>
          <w:sz w:val="22"/>
          <w:szCs w:val="22"/>
        </w:rPr>
        <w:t xml:space="preserve">todos los menores de 18 reciben CBA (unificando AUH + Alimentar en un solo pago de USD 80/mes por menor). Costo: ~USD 11.800 M/año.</w:t>
      </w:r>
    </w:p>
    <w:p>
      <w:pPr>
        <w:spacing w:after="120"/>
      </w:pPr>
      <w:r>
        <w:rPr>
          <w:rFonts w:ascii="Arial" w:cs="Arial" w:eastAsia="Arial" w:hAnsi="Arial"/>
          <w:b/>
          <w:bCs/>
          <w:color w:val="333333"/>
          <w:sz w:val="22"/>
          <w:szCs w:val="22"/>
        </w:rPr>
        <w:t xml:space="preserve">Complemento jubilatorio: </w:t>
      </w:r>
      <w:r>
        <w:rPr>
          <w:rFonts w:ascii="Arial" w:cs="Arial" w:eastAsia="Arial" w:hAnsi="Arial"/>
          <w:color w:val="333333"/>
          <w:sz w:val="22"/>
          <w:szCs w:val="22"/>
        </w:rPr>
        <w:t xml:space="preserve">mayores de 65 reciben jubilación actual + complemento hasta alcanzar CBT si están por debajo.</w:t>
      </w:r>
    </w:p>
    <w:p>
      <w:pPr>
        <w:spacing w:after="120"/>
      </w:pPr>
      <w:r>
        <w:rPr>
          <w:rFonts w:ascii="Arial" w:cs="Arial" w:eastAsia="Arial" w:hAnsi="Arial"/>
          <w:b/>
          <w:bCs/>
          <w:color w:val="333333"/>
          <w:sz w:val="22"/>
          <w:szCs w:val="22"/>
        </w:rPr>
        <w:t xml:space="preserve">Adultos — Impuesto Negativo a la Renta: </w:t>
      </w:r>
      <w:r>
        <w:rPr>
          <w:rFonts w:ascii="Arial" w:cs="Arial" w:eastAsia="Arial" w:hAnsi="Arial"/>
          <w:color w:val="333333"/>
          <w:sz w:val="22"/>
          <w:szCs w:val="22"/>
        </w:rPr>
        <w:t xml:space="preserve">quienes ganen menos que la CBT reciben la diferencia. Esto reduce drásticamente el costo porque solo se paga el “gap”, no el monto completo.</w:t>
      </w:r>
    </w:p>
    <w:p>
      <w:pPr>
        <w:spacing w:after="120"/>
      </w:pPr>
      <w:r>
        <w:rPr>
          <w:rFonts w:ascii="Arial" w:cs="Arial" w:eastAsia="Arial" w:hAnsi="Arial"/>
          <w:b/>
          <w:bCs/>
          <w:color w:val="333333"/>
          <w:sz w:val="22"/>
          <w:szCs w:val="22"/>
        </w:rPr>
        <w:t xml:space="preserve">Componente vivienda: </w:t>
      </w:r>
      <w:r>
        <w:rPr>
          <w:rFonts w:ascii="Arial" w:cs="Arial" w:eastAsia="Arial" w:hAnsi="Arial"/>
          <w:color w:val="333333"/>
          <w:sz w:val="22"/>
          <w:szCs w:val="22"/>
        </w:rPr>
        <w:t xml:space="preserve">voucher de alquiler para hogares sin vivienda propia, condicionado a oferta habitacional (programa de construcción paralelo).</w:t>
      </w:r>
    </w:p>
    <w:p>
      <w:pPr>
        <w:pStyle w:val="Heading2"/>
        <w:spacing w:after="160" w:before="280"/>
      </w:pPr>
      <w:r>
        <w:rPr>
          <w:rFonts w:ascii="Arial" w:cs="Arial" w:eastAsia="Arial" w:hAnsi="Arial"/>
          <w:b/>
          <w:bCs/>
          <w:color w:val="2E86C1"/>
          <w:sz w:val="26"/>
          <w:szCs w:val="26"/>
        </w:rPr>
        <w:t xml:space="preserve">6.2 Hoja de ruta</w:t>
      </w:r>
    </w:p>
    <w:p>
      <w:pPr>
        <w:spacing w:after="120" w:before="200"/>
      </w:pPr>
      <w:r>
        <w:rPr>
          <w:rFonts w:ascii="Arial" w:cs="Arial" w:eastAsia="Arial" w:hAnsi="Arial"/>
          <w:b/>
          <w:bCs/>
          <w:color w:val="1B4F72"/>
          <w:sz w:val="22"/>
          <w:szCs w:val="22"/>
        </w:rPr>
        <w:t xml:space="preserve">Fase 1: Cimientos (2027-2028)</w:t>
      </w:r>
    </w:p>
    <w:p>
      <w:pPr>
        <w:spacing w:after="120"/>
      </w:pPr>
      <w:r>
        <w:rPr>
          <w:rFonts w:ascii="Arial" w:cs="Arial" w:eastAsia="Arial" w:hAnsi="Arial"/>
          <w:i w:val="false"/>
          <w:iCs w:val="false"/>
          <w:color w:val="333333"/>
          <w:sz w:val="22"/>
          <w:szCs w:val="22"/>
        </w:rPr>
        <w:t xml:space="preserve">Unificar AUH + Alimentar + planes en un único “Ingreso Básico por Hijo” = CBA por menor. Implementar impuesto negativo a la renta para adultos sin empleo formal. Aprobar robot tax e impuesto a grandes fortunas. Costo adicional neto: ~USD 10.000-15.000 M/año. Financiamiento disponible: ~USD 18.000 M. Es viable.</w:t>
      </w:r>
    </w:p>
    <w:p>
      <w:pPr>
        <w:spacing w:after="120" w:before="200"/>
      </w:pPr>
      <w:r>
        <w:rPr>
          <w:rFonts w:ascii="Arial" w:cs="Arial" w:eastAsia="Arial" w:hAnsi="Arial"/>
          <w:b/>
          <w:bCs/>
          <w:color w:val="1B4F72"/>
          <w:sz w:val="22"/>
          <w:szCs w:val="22"/>
        </w:rPr>
        <w:t xml:space="preserve">Fase 2: Expansión (2029-2031)</w:t>
      </w:r>
    </w:p>
    <w:p>
      <w:pPr>
        <w:spacing w:after="120"/>
      </w:pPr>
      <w:r>
        <w:rPr>
          <w:rFonts w:ascii="Arial" w:cs="Arial" w:eastAsia="Arial" w:hAnsi="Arial"/>
          <w:i w:val="false"/>
          <w:iCs w:val="false"/>
          <w:color w:val="333333"/>
          <w:sz w:val="22"/>
          <w:szCs w:val="22"/>
        </w:rPr>
        <w:t xml:space="preserve">Subir el piso del Ingreso Básico de CBA a CBT (de USD 127 a USD 282/mes). Incorporar componente vivienda para hogares vulnerables. El robot tax crece con la adopción de IA. Costo adicional: ~USD 25.000-35.000 M/año. Financiamiento: crece por robot tax + carbon tax + crecimiento económico.</w:t>
      </w:r>
    </w:p>
    <w:p>
      <w:pPr>
        <w:spacing w:after="120" w:before="200"/>
      </w:pPr>
      <w:r>
        <w:rPr>
          <w:rFonts w:ascii="Arial" w:cs="Arial" w:eastAsia="Arial" w:hAnsi="Arial"/>
          <w:b/>
          <w:bCs/>
          <w:color w:val="1B4F72"/>
          <w:sz w:val="22"/>
          <w:szCs w:val="22"/>
        </w:rPr>
        <w:t xml:space="preserve">Fase 3: Universalización (2032-2035)</w:t>
      </w:r>
    </w:p>
    <w:p>
      <w:pPr>
        <w:spacing w:after="120"/>
      </w:pPr>
      <w:r>
        <w:rPr>
          <w:rFonts w:ascii="Arial" w:cs="Arial" w:eastAsia="Arial" w:hAnsi="Arial"/>
          <w:i w:val="false"/>
          <w:iCs w:val="false"/>
          <w:color w:val="333333"/>
          <w:sz w:val="22"/>
          <w:szCs w:val="22"/>
        </w:rPr>
        <w:t xml:space="preserve">Transicionar hacia un IBU genuinamente universal a nivel CBT. La automatización masiva genera suficientes ingresos vía robot tax para financiar la cobertura universal. El sistema se autofinancia: más automatización = más recaudación = más cobertura.</w:t>
      </w:r>
    </w:p>
    <w:p>
      <w:pPr>
        <w:pBdr>
          <w:left w:val="single" w:color="2E86C1" w:sz="6" w:space="8"/>
        </w:pBdr>
        <w:spacing w:after="120"/>
        <w:ind w:left="720"/>
      </w:pPr>
      <w:r>
        <w:rPr>
          <w:rFonts w:ascii="Arial" w:cs="Arial" w:eastAsia="Arial" w:hAnsi="Arial"/>
          <w:i/>
          <w:iCs/>
          <w:color w:val="2E86C1"/>
          <w:sz w:val="22"/>
          <w:szCs w:val="22"/>
        </w:rPr>
        <w:t xml:space="preserve">A medida que la IA reemplaza más empleos, el robot tax recauda más. El sistema es autorregulatatorio: la misma fuerza que crea la necesidad del IBU genera los recursos para financiarlo.</w:t>
      </w:r>
    </w:p>
    <w:p>
      <w:r>
        <w:br w:type="page"/>
      </w:r>
    </w:p>
    <w:p>
      <w:pPr>
        <w:pStyle w:val="Heading1"/>
        <w:spacing w:after="200" w:before="360"/>
      </w:pPr>
      <w:r>
        <w:rPr>
          <w:rFonts w:ascii="Arial" w:cs="Arial" w:eastAsia="Arial" w:hAnsi="Arial"/>
          <w:b/>
          <w:bCs/>
          <w:color w:val="1B4F72"/>
          <w:sz w:val="32"/>
          <w:szCs w:val="32"/>
        </w:rPr>
        <w:t xml:space="preserve">7. Reforma Productiva: Argentina en la Era de la IA</w:t>
      </w:r>
    </w:p>
    <w:p>
      <w:pPr>
        <w:spacing w:after="120"/>
      </w:pPr>
      <w:r>
        <w:rPr>
          <w:rFonts w:ascii="Arial" w:cs="Arial" w:eastAsia="Arial" w:hAnsi="Arial"/>
          <w:i w:val="false"/>
          <w:iCs w:val="false"/>
          <w:color w:val="333333"/>
          <w:sz w:val="22"/>
          <w:szCs w:val="22"/>
        </w:rPr>
        <w:t xml:space="preserve">El IBU es una red de seguridad, no una solución completa. Argentina necesita también transformar su estructura productiva para aprovechar la IA en lugar de solo padecerla.</w:t>
      </w:r>
    </w:p>
    <w:p>
      <w:pPr>
        <w:pStyle w:val="Heading2"/>
        <w:spacing w:after="160" w:before="280"/>
      </w:pPr>
      <w:r>
        <w:rPr>
          <w:rFonts w:ascii="Arial" w:cs="Arial" w:eastAsia="Arial" w:hAnsi="Arial"/>
          <w:b/>
          <w:bCs/>
          <w:color w:val="2E86C1"/>
          <w:sz w:val="26"/>
          <w:szCs w:val="26"/>
        </w:rPr>
        <w:t xml:space="preserve">7.1 Sectores estratégicos</w:t>
      </w:r>
    </w:p>
    <w:p>
      <w:pPr>
        <w:spacing w:after="120"/>
      </w:pPr>
      <w:r>
        <w:rPr>
          <w:rFonts w:ascii="Arial" w:cs="Arial" w:eastAsia="Arial" w:hAnsi="Arial"/>
          <w:b/>
          <w:bCs/>
          <w:color w:val="333333"/>
          <w:sz w:val="22"/>
          <w:szCs w:val="22"/>
        </w:rPr>
        <w:t xml:space="preserve">Energía: </w:t>
      </w:r>
      <w:r>
        <w:rPr>
          <w:rFonts w:ascii="Arial" w:cs="Arial" w:eastAsia="Arial" w:hAnsi="Arial"/>
          <w:color w:val="333333"/>
          <w:sz w:val="22"/>
          <w:szCs w:val="22"/>
        </w:rPr>
        <w:t xml:space="preserve">Vaca Muerta + litio + energía solar/eólica posicionan a Argentina como potencia energética. La transición verde genera empleos no automatizables (instalación, mantenimiento, ingeniería de campo).</w:t>
      </w:r>
    </w:p>
    <w:p>
      <w:pPr>
        <w:spacing w:after="120"/>
      </w:pPr>
      <w:r>
        <w:rPr>
          <w:rFonts w:ascii="Arial" w:cs="Arial" w:eastAsia="Arial" w:hAnsi="Arial"/>
          <w:b/>
          <w:bCs/>
          <w:color w:val="333333"/>
          <w:sz w:val="22"/>
          <w:szCs w:val="22"/>
        </w:rPr>
        <w:t xml:space="preserve">Agrotech: </w:t>
      </w:r>
      <w:r>
        <w:rPr>
          <w:rFonts w:ascii="Arial" w:cs="Arial" w:eastAsia="Arial" w:hAnsi="Arial"/>
          <w:color w:val="333333"/>
          <w:sz w:val="22"/>
          <w:szCs w:val="22"/>
        </w:rPr>
        <w:t xml:space="preserve">Argentina es el 3er exportador mundial de alimentos. La IA aplicada al agro (agricultura de precisión, drones, análisis de suelos) aumenta productividad y crea empleos tech rurales.</w:t>
      </w:r>
    </w:p>
    <w:p>
      <w:pPr>
        <w:spacing w:after="120"/>
      </w:pPr>
      <w:r>
        <w:rPr>
          <w:rFonts w:ascii="Arial" w:cs="Arial" w:eastAsia="Arial" w:hAnsi="Arial"/>
          <w:b/>
          <w:bCs/>
          <w:color w:val="333333"/>
          <w:sz w:val="22"/>
          <w:szCs w:val="22"/>
        </w:rPr>
        <w:t xml:space="preserve">Servicios tech: </w:t>
      </w:r>
      <w:r>
        <w:rPr>
          <w:rFonts w:ascii="Arial" w:cs="Arial" w:eastAsia="Arial" w:hAnsi="Arial"/>
          <w:color w:val="333333"/>
          <w:sz w:val="22"/>
          <w:szCs w:val="22"/>
        </w:rPr>
        <w:t xml:space="preserve">con zona horaria favorable y talento humano, Argentina puede exportar servicios de IA, desarrollo de software y consultoría digital.</w:t>
      </w:r>
    </w:p>
    <w:p>
      <w:pPr>
        <w:spacing w:after="120"/>
      </w:pPr>
      <w:r>
        <w:rPr>
          <w:rFonts w:ascii="Arial" w:cs="Arial" w:eastAsia="Arial" w:hAnsi="Arial"/>
          <w:b/>
          <w:bCs/>
          <w:color w:val="333333"/>
          <w:sz w:val="22"/>
          <w:szCs w:val="22"/>
        </w:rPr>
        <w:t xml:space="preserve">Economía del cuidado: </w:t>
      </w:r>
      <w:r>
        <w:rPr>
          <w:rFonts w:ascii="Arial" w:cs="Arial" w:eastAsia="Arial" w:hAnsi="Arial"/>
          <w:color w:val="333333"/>
          <w:sz w:val="22"/>
          <w:szCs w:val="22"/>
        </w:rPr>
        <w:t xml:space="preserve">salud, educación y cuidado de mayores son sectores donde la IA complementa pero no reemplaza al ser humano. Son intensivos en empleo y socialmente necesarios.</w:t>
      </w:r>
    </w:p>
    <w:p>
      <w:pPr>
        <w:pStyle w:val="Heading2"/>
        <w:spacing w:after="160" w:before="280"/>
      </w:pPr>
      <w:r>
        <w:rPr>
          <w:rFonts w:ascii="Arial" w:cs="Arial" w:eastAsia="Arial" w:hAnsi="Arial"/>
          <w:b/>
          <w:bCs/>
          <w:color w:val="2E86C1"/>
          <w:sz w:val="26"/>
          <w:szCs w:val="26"/>
        </w:rPr>
        <w:t xml:space="preserve">7.2 Política de reconversión laboral</w:t>
      </w:r>
    </w:p>
    <w:p>
      <w:pPr>
        <w:spacing w:after="120"/>
      </w:pPr>
      <w:r>
        <w:rPr>
          <w:rFonts w:ascii="Arial" w:cs="Arial" w:eastAsia="Arial" w:hAnsi="Arial"/>
          <w:i w:val="false"/>
          <w:iCs w:val="false"/>
          <w:color w:val="333333"/>
          <w:sz w:val="22"/>
          <w:szCs w:val="22"/>
        </w:rPr>
        <w:t xml:space="preserve">El CPI (Centro de Producción e Innovación) barrial propuesto en Argentina Próspera es la infraestructura ideal para reconversión: capacitación digital, tutores IA, acceso a herramientas, y acompañamiento para microemprendimientos. Cada CPI sería también un hub de trabajo remoto y cooperativismo digital.</w:t>
      </w:r>
    </w:p>
    <w:p>
      <w:r>
        <w:br w:type="page"/>
      </w:r>
    </w:p>
    <w:p>
      <w:pPr>
        <w:pStyle w:val="Heading1"/>
        <w:spacing w:after="200" w:before="360"/>
      </w:pPr>
      <w:r>
        <w:rPr>
          <w:rFonts w:ascii="Arial" w:cs="Arial" w:eastAsia="Arial" w:hAnsi="Arial"/>
          <w:b/>
          <w:bCs/>
          <w:color w:val="1B4F72"/>
          <w:sz w:val="32"/>
          <w:szCs w:val="32"/>
        </w:rPr>
        <w:t xml:space="preserve">8. Conclusión</w:t>
      </w:r>
    </w:p>
    <w:p>
      <w:pPr>
        <w:spacing w:after="120"/>
      </w:pPr>
      <w:r>
        <w:rPr>
          <w:rFonts w:ascii="Arial" w:cs="Arial" w:eastAsia="Arial" w:hAnsi="Arial"/>
          <w:i w:val="false"/>
          <w:iCs w:val="false"/>
          <w:color w:val="333333"/>
          <w:sz w:val="22"/>
          <w:szCs w:val="22"/>
        </w:rPr>
        <w:t xml:space="preserve">Argentina tiene hoy las condiciones macroeconómicas (superávit fiscal, deuda manejable, crecimiento) y los recursos naturales (litio, energía, alimentos) para construir un sistema de ingreso básico que garantice alimentación, salud y vivienda digna a toda su población.</w:t>
      </w:r>
    </w:p>
    <w:p>
      <w:pPr>
        <w:spacing w:after="120"/>
      </w:pPr>
      <w:r>
        <w:rPr>
          <w:rFonts w:ascii="Arial" w:cs="Arial" w:eastAsia="Arial" w:hAnsi="Arial"/>
          <w:i w:val="false"/>
          <w:iCs w:val="false"/>
          <w:color w:val="333333"/>
          <w:sz w:val="22"/>
          <w:szCs w:val="22"/>
        </w:rPr>
        <w:t xml:space="preserve">El desafío de la IA no es una amenaza si se gestiona correctamente: la misma automatización que desplaza empleos genera la riqueza necesaria para financiar la transición, siempre que esa riqueza se distribuya mediante impuestos progresivos.</w:t>
      </w:r>
    </w:p>
    <w:p>
      <w:pPr>
        <w:spacing w:after="120"/>
      </w:pPr>
      <w:r>
        <w:rPr>
          <w:rFonts w:ascii="Arial" w:cs="Arial" w:eastAsia="Arial" w:hAnsi="Arial"/>
          <w:i w:val="false"/>
          <w:iCs w:val="false"/>
          <w:color w:val="333333"/>
          <w:sz w:val="22"/>
          <w:szCs w:val="22"/>
        </w:rPr>
        <w:t xml:space="preserve">La implementación gradual —desde un Ingreso Básico por Hijo y un impuesto negativo a la renta en 2027, hasta un IBU universal a nivel CBT en 2035— es fiscal y políticamente viable.</w:t>
      </w:r>
    </w:p>
    <w:p>
      <w:pPr>
        <w:pBdr>
          <w:left w:val="single" w:color="2E86C1" w:sz="6" w:space="8"/>
        </w:pBdr>
        <w:spacing w:after="120"/>
        <w:ind w:left="720"/>
      </w:pPr>
      <w:r>
        <w:rPr>
          <w:rFonts w:ascii="Arial" w:cs="Arial" w:eastAsia="Arial" w:hAnsi="Arial"/>
          <w:i/>
          <w:iCs/>
          <w:color w:val="2E86C1"/>
          <w:sz w:val="22"/>
          <w:szCs w:val="22"/>
        </w:rPr>
        <w:t xml:space="preserve">No se trata de gastar más. Se trata de que el fruto del progreso tecnológico llegue a todos, no solo a quienes poseen las máquinas.</w:t>
      </w:r>
    </w:p>
    <w:p>
      <w:pPr>
        <w:spacing w:after="120"/>
      </w:pPr>
      <w:r>
        <w:rPr>
          <w:rFonts w:ascii="Arial" w:cs="Arial" w:eastAsia="Arial" w:hAnsi="Arial"/>
          <w:i w:val="false"/>
          <w:iCs w:val="false"/>
          <w:color w:val="333333"/>
          <w:sz w:val="22"/>
          <w:szCs w:val="22"/>
        </w:rPr>
        <w:t xml:space="preserve">Argentina Próspera no es una utopía. Es una decisión.</w:t>
      </w:r>
    </w:p>
    <w:p>
      <w:r>
        <w:br w:type="page"/>
      </w:r>
    </w:p>
    <w:p>
      <w:pPr>
        <w:pStyle w:val="Heading1"/>
        <w:spacing w:after="200" w:before="360"/>
      </w:pPr>
      <w:r>
        <w:rPr>
          <w:rFonts w:ascii="Arial" w:cs="Arial" w:eastAsia="Arial" w:hAnsi="Arial"/>
          <w:b/>
          <w:bCs/>
          <w:color w:val="1B4F72"/>
          <w:sz w:val="32"/>
          <w:szCs w:val="32"/>
        </w:rPr>
        <w:t xml:space="preserve">Fuentes Principales</w:t>
      </w:r>
    </w:p>
    <w:p>
      <w:pPr>
        <w:pStyle w:val="ListParagraph"/>
        <w:numPr>
          <w:ilvl w:val="0"/>
          <w:numId w:val="2"/>
        </w:numPr>
        <w:spacing w:after="60"/>
      </w:pPr>
      <w:r>
        <w:rPr>
          <w:rFonts w:ascii="Arial" w:cs="Arial" w:eastAsia="Arial" w:hAnsi="Arial"/>
          <w:color w:val="555555"/>
          <w:sz w:val="18"/>
          <w:szCs w:val="18"/>
        </w:rPr>
        <w:t xml:space="preserve">Van Parijs &amp; Vanderborght (2017). Basic Income: A Radical Proposal for a Free Society and a Sane Economy.</w:t>
      </w:r>
    </w:p>
    <w:p>
      <w:pPr>
        <w:pStyle w:val="ListParagraph"/>
        <w:numPr>
          <w:ilvl w:val="0"/>
          <w:numId w:val="2"/>
        </w:numPr>
        <w:spacing w:after="60"/>
      </w:pPr>
      <w:r>
        <w:rPr>
          <w:rFonts w:ascii="Arial" w:cs="Arial" w:eastAsia="Arial" w:hAnsi="Arial"/>
          <w:color w:val="555555"/>
          <w:sz w:val="18"/>
          <w:szCs w:val="18"/>
        </w:rPr>
        <w:t xml:space="preserve">Guy Standing (2017). Basic Income: And How We Can Make It Happen.</w:t>
      </w:r>
    </w:p>
    <w:p>
      <w:pPr>
        <w:pStyle w:val="ListParagraph"/>
        <w:numPr>
          <w:ilvl w:val="0"/>
          <w:numId w:val="2"/>
        </w:numPr>
        <w:spacing w:after="60"/>
      </w:pPr>
      <w:r>
        <w:rPr>
          <w:rFonts w:ascii="Arial" w:cs="Arial" w:eastAsia="Arial" w:hAnsi="Arial"/>
          <w:color w:val="555555"/>
          <w:sz w:val="18"/>
          <w:szCs w:val="18"/>
        </w:rPr>
        <w:t xml:space="preserve">GiveDirectly/IPA (2023). Early findings from the world's largest UBI study.</w:t>
      </w:r>
    </w:p>
    <w:p>
      <w:pPr>
        <w:pStyle w:val="ListParagraph"/>
        <w:numPr>
          <w:ilvl w:val="0"/>
          <w:numId w:val="2"/>
        </w:numPr>
        <w:spacing w:after="60"/>
      </w:pPr>
      <w:r>
        <w:rPr>
          <w:rFonts w:ascii="Arial" w:cs="Arial" w:eastAsia="Arial" w:hAnsi="Arial"/>
          <w:color w:val="555555"/>
          <w:sz w:val="18"/>
          <w:szCs w:val="18"/>
        </w:rPr>
        <w:t xml:space="preserve">Kela (2020). Results of Finland's Basic Income Experiment.</w:t>
      </w:r>
    </w:p>
    <w:p>
      <w:pPr>
        <w:pStyle w:val="ListParagraph"/>
        <w:numPr>
          <w:ilvl w:val="0"/>
          <w:numId w:val="2"/>
        </w:numPr>
        <w:spacing w:after="60"/>
      </w:pPr>
      <w:r>
        <w:rPr>
          <w:rFonts w:ascii="Arial" w:cs="Arial" w:eastAsia="Arial" w:hAnsi="Arial"/>
          <w:color w:val="555555"/>
          <w:sz w:val="18"/>
          <w:szCs w:val="18"/>
        </w:rPr>
        <w:t xml:space="preserve">SEED Project, Stockton CA (2021). Guaranteed Income Pilot Results.</w:t>
      </w:r>
    </w:p>
    <w:p>
      <w:pPr>
        <w:pStyle w:val="ListParagraph"/>
        <w:numPr>
          <w:ilvl w:val="0"/>
          <w:numId w:val="2"/>
        </w:numPr>
        <w:spacing w:after="60"/>
      </w:pPr>
      <w:r>
        <w:rPr>
          <w:rFonts w:ascii="Arial" w:cs="Arial" w:eastAsia="Arial" w:hAnsi="Arial"/>
          <w:color w:val="555555"/>
          <w:sz w:val="18"/>
          <w:szCs w:val="18"/>
        </w:rPr>
        <w:t xml:space="preserve">Stanford Basic Income Lab (2024). Global UBI Pilots Database.</w:t>
      </w:r>
    </w:p>
    <w:p>
      <w:pPr>
        <w:pStyle w:val="ListParagraph"/>
        <w:numPr>
          <w:ilvl w:val="0"/>
          <w:numId w:val="2"/>
        </w:numPr>
        <w:spacing w:after="60"/>
      </w:pPr>
      <w:r>
        <w:rPr>
          <w:rFonts w:ascii="Arial" w:cs="Arial" w:eastAsia="Arial" w:hAnsi="Arial"/>
          <w:color w:val="555555"/>
          <w:sz w:val="18"/>
          <w:szCs w:val="18"/>
        </w:rPr>
        <w:t xml:space="preserve">INDEC (2025). EPH, Canastas Básicas, Distribución del Ingreso.</w:t>
      </w:r>
    </w:p>
    <w:p>
      <w:pPr>
        <w:pStyle w:val="ListParagraph"/>
        <w:numPr>
          <w:ilvl w:val="0"/>
          <w:numId w:val="2"/>
        </w:numPr>
        <w:spacing w:after="60"/>
      </w:pPr>
      <w:r>
        <w:rPr>
          <w:rFonts w:ascii="Arial" w:cs="Arial" w:eastAsia="Arial" w:hAnsi="Arial"/>
          <w:color w:val="555555"/>
          <w:sz w:val="18"/>
          <w:szCs w:val="18"/>
        </w:rPr>
        <w:t xml:space="preserve">Ministerio de Trabajo (2024). Impacto de la IA generativa en el empleo asalariado.</w:t>
      </w:r>
    </w:p>
    <w:p>
      <w:pPr>
        <w:pStyle w:val="ListParagraph"/>
        <w:numPr>
          <w:ilvl w:val="0"/>
          <w:numId w:val="2"/>
        </w:numPr>
        <w:spacing w:after="60"/>
      </w:pPr>
      <w:r>
        <w:rPr>
          <w:rFonts w:ascii="Arial" w:cs="Arial" w:eastAsia="Arial" w:hAnsi="Arial"/>
          <w:color w:val="555555"/>
          <w:sz w:val="18"/>
          <w:szCs w:val="18"/>
        </w:rPr>
        <w:t xml:space="preserve">World Economic Forum (2025). Future of Jobs Report.</w:t>
      </w:r>
    </w:p>
    <w:p>
      <w:pPr>
        <w:pStyle w:val="ListParagraph"/>
        <w:numPr>
          <w:ilvl w:val="0"/>
          <w:numId w:val="2"/>
        </w:numPr>
        <w:spacing w:after="60"/>
      </w:pPr>
      <w:r>
        <w:rPr>
          <w:rFonts w:ascii="Arial" w:cs="Arial" w:eastAsia="Arial" w:hAnsi="Arial"/>
          <w:color w:val="555555"/>
          <w:sz w:val="18"/>
          <w:szCs w:val="18"/>
        </w:rPr>
        <w:t xml:space="preserve">IARAF (2025). Vademécum Tributario Argentino.</w:t>
      </w:r>
    </w:p>
    <w:p>
      <w:pPr>
        <w:pStyle w:val="ListParagraph"/>
        <w:numPr>
          <w:ilvl w:val="0"/>
          <w:numId w:val="2"/>
        </w:numPr>
        <w:spacing w:after="60"/>
      </w:pPr>
      <w:r>
        <w:rPr>
          <w:rFonts w:ascii="Arial" w:cs="Arial" w:eastAsia="Arial" w:hAnsi="Arial"/>
          <w:color w:val="555555"/>
          <w:sz w:val="18"/>
          <w:szCs w:val="18"/>
        </w:rPr>
        <w:t xml:space="preserve">Tax Justice Network (2024). Estado de la Justicia Fiscal.</w:t>
      </w:r>
    </w:p>
    <w:p>
      <w:pPr>
        <w:pStyle w:val="ListParagraph"/>
        <w:numPr>
          <w:ilvl w:val="0"/>
          <w:numId w:val="2"/>
        </w:numPr>
        <w:spacing w:after="60"/>
      </w:pPr>
      <w:r>
        <w:rPr>
          <w:rFonts w:ascii="Arial" w:cs="Arial" w:eastAsia="Arial" w:hAnsi="Arial"/>
          <w:color w:val="555555"/>
          <w:sz w:val="18"/>
          <w:szCs w:val="18"/>
        </w:rPr>
        <w:t xml:space="preserve">FMI, World Economic Outlook (2025). Proyecciones PBI Argentina.</w:t>
      </w:r>
    </w:p>
    <w:p>
      <w:pPr>
        <w:pStyle w:val="ListParagraph"/>
        <w:numPr>
          <w:ilvl w:val="0"/>
          <w:numId w:val="2"/>
        </w:numPr>
        <w:spacing w:after="60"/>
      </w:pPr>
      <w:r>
        <w:rPr>
          <w:rFonts w:ascii="Arial" w:cs="Arial" w:eastAsia="Arial" w:hAnsi="Arial"/>
          <w:color w:val="555555"/>
          <w:sz w:val="18"/>
          <w:szCs w:val="18"/>
        </w:rPr>
        <w:t xml:space="preserve">Frontiers in AI (2022). Inclusive Growth: How Can Taxation Help?</w:t>
      </w:r>
    </w:p>
    <w:p>
      <w:pPr>
        <w:pStyle w:val="ListParagraph"/>
        <w:numPr>
          <w:ilvl w:val="0"/>
          <w:numId w:val="2"/>
        </w:numPr>
        <w:spacing w:after="60"/>
      </w:pPr>
      <w:r>
        <w:rPr>
          <w:rFonts w:ascii="Arial" w:cs="Arial" w:eastAsia="Arial" w:hAnsi="Arial"/>
          <w:color w:val="555555"/>
          <w:sz w:val="18"/>
          <w:szCs w:val="18"/>
        </w:rPr>
        <w:t xml:space="preserve">Equilibra (2025). Una mirada al Gasto Social en Argentina.</w:t>
      </w:r>
    </w:p>
    <w:p>
      <w:pPr>
        <w:pStyle w:val="ListParagraph"/>
        <w:numPr>
          <w:ilvl w:val="0"/>
          <w:numId w:val="2"/>
        </w:numPr>
        <w:spacing w:after="60"/>
      </w:pPr>
      <w:r>
        <w:rPr>
          <w:rFonts w:ascii="Arial" w:cs="Arial" w:eastAsia="Arial" w:hAnsi="Arial"/>
          <w:color w:val="555555"/>
          <w:sz w:val="18"/>
          <w:szCs w:val="18"/>
        </w:rPr>
        <w:t xml:space="preserve">Presupuesto Nacional 2026, Ley 27.798. Ministerio de Economía.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6" w:space="4"/>
      </w:pBdr>
      <w:jc w:val="center"/>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Arial" w:cs="Arial" w:eastAsia="Arial" w:hAnsi="Arial"/>
          <w:sz w:val="16"/>
          <w:szCs w:val="16"/>
        </w:rPr>
        <w:t xml:space="preserve">Van Parijs &amp; Vanderborght (2017). Basic Income: A Radical Proposal for a Free Society and a Sane Economy.</w:t>
      </w:r>
    </w:p>
  </w:footnote>
  <w:footnote w:id="2">
    <w:p>
      <w:r>
        <w:rPr>
          <w:rStyle w:val="FootnoteReference"/>
        </w:rPr>
        <w:footnoteRef/>
      </w:r>
      <w:r>
        <w:rPr>
          <w:rFonts w:ascii="Arial" w:cs="Arial" w:eastAsia="Arial" w:hAnsi="Arial"/>
          <w:sz w:val="16"/>
          <w:szCs w:val="16"/>
        </w:rPr>
        <w:t xml:space="preserve">GiveDirectly/IPA (2023). Early findings from the world's largest UBI study. Kenya.</w:t>
      </w:r>
    </w:p>
  </w:footnote>
  <w:footnote w:id="3">
    <w:p>
      <w:r>
        <w:rPr>
          <w:rStyle w:val="FootnoteReference"/>
        </w:rPr>
        <w:footnoteRef/>
      </w:r>
      <w:r>
        <w:rPr>
          <w:rFonts w:ascii="Arial" w:cs="Arial" w:eastAsia="Arial" w:hAnsi="Arial"/>
          <w:sz w:val="16"/>
          <w:szCs w:val="16"/>
        </w:rPr>
        <w:t xml:space="preserve">Kela (2020). Results of Finland's Basic Income Experiment 2017-2018.</w:t>
      </w:r>
    </w:p>
  </w:footnote>
  <w:footnote w:id="4">
    <w:p>
      <w:r>
        <w:rPr>
          <w:rStyle w:val="FootnoteReference"/>
        </w:rPr>
        <w:footnoteRef/>
      </w:r>
      <w:r>
        <w:rPr>
          <w:rFonts w:ascii="Arial" w:cs="Arial" w:eastAsia="Arial" w:hAnsi="Arial"/>
          <w:sz w:val="16"/>
          <w:szCs w:val="16"/>
        </w:rPr>
        <w:t xml:space="preserve">INDEC, Censo 2022 y proyecciones poblacionales.</w:t>
      </w:r>
    </w:p>
  </w:footnote>
  <w:footnote w:id="5">
    <w:p>
      <w:r>
        <w:rPr>
          <w:rStyle w:val="FootnoteReference"/>
        </w:rPr>
        <w:footnoteRef/>
      </w:r>
      <w:r>
        <w:rPr>
          <w:rFonts w:ascii="Arial" w:cs="Arial" w:eastAsia="Arial" w:hAnsi="Arial"/>
          <w:sz w:val="16"/>
          <w:szCs w:val="16"/>
        </w:rPr>
        <w:t xml:space="preserve">INDEC EPH 1er semestre 2025. Pobreza: 31,6%, Indigencia: 6,9%.</w:t>
      </w:r>
    </w:p>
  </w:footnote>
  <w:footnote w:id="6">
    <w:p>
      <w:r>
        <w:rPr>
          <w:rStyle w:val="FootnoteReference"/>
        </w:rPr>
        <w:footnoteRef/>
      </w:r>
      <w:r>
        <w:rPr>
          <w:rFonts w:ascii="Arial" w:cs="Arial" w:eastAsia="Arial" w:hAnsi="Arial"/>
          <w:sz w:val="16"/>
          <w:szCs w:val="16"/>
        </w:rPr>
        <w:t xml:space="preserve">Ministerio de Trabajo (2024). Impacto de la IA generativa en el empleo asalariado registrado del sector privado.</w:t>
      </w:r>
    </w:p>
  </w:footnote>
  <w:footnote w:id="7">
    <w:p>
      <w:r>
        <w:rPr>
          <w:rStyle w:val="FootnoteReference"/>
        </w:rPr>
        <w:footnoteRef/>
      </w:r>
      <w:r>
        <w:rPr>
          <w:rFonts w:ascii="Arial" w:cs="Arial" w:eastAsia="Arial" w:hAnsi="Arial"/>
          <w:sz w:val="16"/>
          <w:szCs w:val="16"/>
        </w:rPr>
        <w:t xml:space="preserve">World Economic Forum (2025). Future of Jobs Report. 92M empleos desplazados, 170M creados para 2030.</w:t>
      </w:r>
    </w:p>
  </w:footnote>
  <w:footnote w:id="8">
    <w:p>
      <w:r>
        <w:rPr>
          <w:rStyle w:val="FootnoteReference"/>
        </w:rPr>
        <w:footnoteRef/>
      </w:r>
      <w:r>
        <w:rPr>
          <w:rFonts w:ascii="Arial" w:cs="Arial" w:eastAsia="Arial" w:hAnsi="Arial"/>
          <w:sz w:val="16"/>
          <w:szCs w:val="16"/>
        </w:rPr>
        <w:t xml:space="preserve">INDEC EPH 1T 2025. Tasa de informalidad: 42%. Penalidad salarial por informalidad: 41%.</w:t>
      </w:r>
    </w:p>
  </w:footnote>
  <w:footnote w:id="9">
    <w:p>
      <w:r>
        <w:rPr>
          <w:rStyle w:val="FootnoteReference"/>
        </w:rPr>
        <w:footnoteRef/>
      </w:r>
      <w:r>
        <w:rPr>
          <w:rFonts w:ascii="Arial" w:cs="Arial" w:eastAsia="Arial" w:hAnsi="Arial"/>
          <w:sz w:val="16"/>
          <w:szCs w:val="16"/>
        </w:rPr>
        <w:t xml:space="preserve">INDEC, dic 2025. CBA adulto equiv: ARS 190.780/mes. CBT: ARS 423.532/mes.</w:t>
      </w:r>
    </w:p>
  </w:footnote>
  <w:footnote w:id="10">
    <w:p>
      <w:r>
        <w:rPr>
          <w:rStyle w:val="FootnoteReference"/>
        </w:rPr>
        <w:footnoteRef/>
      </w:r>
      <w:r>
        <w:rPr>
          <w:rFonts w:ascii="Arial" w:cs="Arial" w:eastAsia="Arial" w:hAnsi="Arial"/>
          <w:sz w:val="16"/>
          <w:szCs w:val="16"/>
        </w:rPr>
        <w:t xml:space="preserve">Equilibra (2025). Una mirada al Gasto Social en Argentina. Gasto social = 12% PBI.</w:t>
      </w:r>
    </w:p>
  </w:footnote>
  <w:footnote w:id="11">
    <w:p>
      <w:r>
        <w:rPr>
          <w:rStyle w:val="FootnoteReference"/>
        </w:rPr>
        <w:footnoteRef/>
      </w:r>
      <w:r>
        <w:rPr>
          <w:rFonts w:ascii="Arial" w:cs="Arial" w:eastAsia="Arial" w:hAnsi="Arial"/>
          <w:sz w:val="16"/>
          <w:szCs w:val="16"/>
        </w:rPr>
        <w:t xml:space="preserve">Tax Justice Network (2024). Estado de la Justicia Fiscal. INDEC PII.</w:t>
      </w:r>
    </w:p>
  </w:footnote>
  <w:footnote w:id="12">
    <w:p>
      <w:r>
        <w:rPr>
          <w:rStyle w:val="FootnoteReference"/>
        </w:rPr>
        <w:footnoteRef/>
      </w:r>
      <w:r>
        <w:rPr>
          <w:rFonts w:ascii="Arial" w:cs="Arial" w:eastAsia="Arial" w:hAnsi="Arial"/>
          <w:sz w:val="16"/>
          <w:szCs w:val="16"/>
        </w:rPr>
        <w:t xml:space="preserve">Frontiers in AI (2022). Inclusive Growth in the Era of Automation and AI: How Can Taxation Help?</w:t>
      </w:r>
    </w:p>
  </w:footnote>
  <w:footnote w:id="13">
    <w:p>
      <w:r>
        <w:rPr>
          <w:rStyle w:val="FootnoteReference"/>
        </w:rPr>
        <w:footnoteRef/>
      </w:r>
      <w:r>
        <w:rPr>
          <w:rFonts w:ascii="Arial" w:cs="Arial" w:eastAsia="Arial" w:hAnsi="Arial"/>
          <w:sz w:val="16"/>
          <w:szCs w:val="16"/>
        </w:rPr>
        <w:t xml:space="preserve">Stanford Basic Income Lab (2024). 160+ UBI pilots conducted globally.</w:t>
      </w:r>
    </w:p>
  </w:footnote>
  <w:footnote w:id="14">
    <w:p>
      <w:r>
        <w:rPr>
          <w:rStyle w:val="FootnoteReference"/>
        </w:rPr>
        <w:footnoteRef/>
      </w:r>
      <w:r>
        <w:rPr>
          <w:rFonts w:ascii="Arial" w:cs="Arial" w:eastAsia="Arial" w:hAnsi="Arial"/>
          <w:sz w:val="16"/>
          <w:szCs w:val="16"/>
        </w:rPr>
        <w:t xml:space="preserve">SEED Project, Stockton CA (2021). Resultados: aumento empleo full-time, reducción estrés.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6" w:space="4"/>
      </w:pBdr>
      <w:jc w:val="right"/>
    </w:pPr>
    <w:r>
      <w:rPr>
        <w:rFonts w:ascii="Arial" w:cs="Arial" w:eastAsia="Arial" w:hAnsi="Arial"/>
        <w:i/>
        <w:iCs/>
        <w:color w:val="888888"/>
        <w:sz w:val="18"/>
        <w:szCs w:val="18"/>
      </w:rPr>
      <w:t xml:space="preserve">Argentina Próspera 2027-2031 — Ingreso Básico Universal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2"/>
      <w:szCs w:val="32"/>
    </w:rPr>
  </w:style>
  <w:style w:type="paragraph" w:styleId="Heading2">
    <w:name w:val="Heading 2"/>
    <w:basedOn w:val="Normal"/>
    <w:next w:val="Normal"/>
    <w:qFormat/>
    <w:pPr>
      <w:spacing w:after="18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2026-03-03T21:12:42.423Z</dcterms:created>
  <dcterms:modified xsi:type="dcterms:W3CDTF">2026-03-03T21:12:42.423Z</dcterms:modified>
</cp:coreProperties>
</file>

<file path=docProps/custom.xml><?xml version="1.0" encoding="utf-8"?>
<Properties xmlns="http://schemas.openxmlformats.org/officeDocument/2006/custom-properties" xmlns:vt="http://schemas.openxmlformats.org/officeDocument/2006/docPropsVTypes"/>
</file>