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GC10 Defect Classifier — Technical Deep Dive</w:t>
      </w:r>
    </w:p>
    <w:p>
      <w:r>
        <w:t>Date: November 08, 2025</w:t>
      </w:r>
    </w:p>
    <w:p>
      <w:r>
        <w:t>Audience: Advanced Engineers and Technical Management</w:t>
      </w:r>
    </w:p>
    <w:p>
      <w:r>
        <w:t>Source: GC10_Defect_Classifier_Starter_Notebook.ipynb</w:t>
      </w:r>
    </w:p>
    <w:p>
      <w:r>
        <w:br w:type="page"/>
      </w:r>
    </w:p>
    <w:p>
      <w:pPr>
        <w:pStyle w:val="Heading1"/>
      </w:pPr>
      <w:r>
        <w:t>1. Executive Summary</w:t>
      </w:r>
    </w:p>
    <w:p>
      <w:r>
        <w:t>This document presents a comprehensive technical breakdown of the GC10 Defect Classifier project. The notebook implements a deep learning system using TensorFlow and Keras for identifying and classifying manufacturing defects from the GC10 image dataset. It employs transfer learning with the pre-trained VGG16 model, leveraging established convolutional feature hierarchies to accelerate training and improve performance.</w:t>
      </w:r>
    </w:p>
    <w:p>
      <w:r>
        <w:t>This deep dive provides layer-by-layer explanations, model configuration logic, TensorFlow runtime behavior, and optimization strategies to support future enhancement, integration, and maintenance by engineering teams.</w:t>
      </w:r>
    </w:p>
    <w:p>
      <w:pPr>
        <w:pStyle w:val="Heading1"/>
      </w:pPr>
      <w:r>
        <w:t>2. System Architecture Overview</w:t>
      </w:r>
    </w:p>
    <w:p>
      <w:r>
        <w:t>The notebook follows a modular structure comprising data ingestion, preprocessing, model construction, training, evaluation, and persistence. The project’s directory hierarchy organizes data, labels, and model artifacts under `data/` to maintain reproducibility and scalability.</w:t>
      </w:r>
    </w:p>
    <w:p>
      <w:r>
        <w:t>Execution begins with the import of key libraries (TensorFlow, Keras, NumPy, Pandas, Matplotlib, lxml, and scikit-learn) and configuration of runtime constants such as FORCE_RETRAIN and model checkpoint paths.</w:t>
      </w:r>
    </w:p>
    <w:p>
      <w:r>
        <w:t>Example initialization code:</w:t>
      </w:r>
    </w:p>
    <w:p>
      <w:r>
        <w:rPr>
          <w:rFonts w:ascii="Courier New" w:hAnsi="Courier New"/>
        </w:rPr>
        <w:t>import tensorflow as tf</w:t>
        <w:br/>
        <w:t>from tensorflow import keras</w:t>
        <w:br/>
        <w:t>import matplotlib.pyplot as plt</w:t>
        <w:br/>
        <w:t>import numpy as np</w:t>
        <w:br/>
        <w:t>import pandas as pd</w:t>
        <w:br/>
        <w:t>import glob, random, os</w:t>
        <w:br/>
        <w:t>from lxml import etree</w:t>
        <w:br/>
        <w:t>from sklearn.preprocessing import LabelBinarizer</w:t>
        <w:br/>
        <w:t>%matplotlib inline</w:t>
      </w:r>
      <w:r>
        <w:br/>
      </w:r>
    </w:p>
    <w:p>
      <w:pPr>
        <w:pStyle w:val="Heading1"/>
      </w:pPr>
      <w:r>
        <w:t>3. Data Processing Pipeline</w:t>
      </w:r>
    </w:p>
    <w:p>
      <w:r>
        <w:t>The dataset resides in structured directories: `data/images/images` for input images and `data/label/label` for XML-based annotations. The code verifies directory contents and extracts class names dynamically. Label files are parsed using `lxml.etree`, and the `LabelBinarizer` transforms string-based defect classes into one-hot encoded arrays.</w:t>
      </w:r>
    </w:p>
    <w:p>
      <w:r>
        <w:t>A helper function dynamically builds metadata describing the dataset configuration, including the image dimensions, class names, and preprocessing pipeline.</w:t>
      </w:r>
    </w:p>
    <w:p>
      <w:r>
        <w:rPr>
          <w:rFonts w:ascii="Courier New" w:hAnsi="Courier New"/>
        </w:rPr>
        <w:t>def make_current_meta(model_arch: str, image_size):</w:t>
        <w:br/>
        <w:t xml:space="preserve">    class_names = get_class_names_from_dirs()</w:t>
        <w:br/>
        <w:t xml:space="preserve">    return {</w:t>
        <w:br/>
        <w:t xml:space="preserve">        "image_size": tuple(image_size),</w:t>
        <w:br/>
        <w:t xml:space="preserve">        "class_names": class_names,</w:t>
        <w:br/>
        <w:t xml:space="preserve">        "num_classes": len(class_names),</w:t>
        <w:br/>
        <w:t xml:space="preserve">        "preprocessing": "rescale_1_255"</w:t>
        <w:br/>
        <w:t xml:space="preserve">    }</w:t>
      </w:r>
    </w:p>
    <w:p>
      <w:r>
        <w:t>The preprocessing normalizes pixel intensity to a [0,1] range, reshapes tensors for batch compatibility, and constructs TensorFlow datasets that feed efficiently into the GPU pipeline. The use of `tf.data` allows for prefetching and parallelized loading, which optimizes throughput during training.</w:t>
      </w:r>
    </w:p>
    <w:p>
      <w:pPr>
        <w:pStyle w:val="Heading1"/>
      </w:pPr>
      <w:r>
        <w:t>4. Model Architecture — VGG16</w:t>
      </w:r>
    </w:p>
    <w:p>
      <w:r>
        <w:t>VGG16 is a deep convolutional neural network originally trained on ImageNet with 16 weight layers. It employs uniform 3x3 convolution filters stacked in depth, each followed by ReLU activations and max pooling.</w:t>
      </w:r>
    </w:p>
    <w:p>
      <w:r>
        <w:t>In this implementation, the convolutional base of VGG16 is loaded with pre-trained ImageNet weights, while the classification head is rebuilt to match the GC10 dataset's number of defect classes. The early layers are frozen to preserve general-purpose feature extraction, while later layers remain trainable.</w:t>
      </w:r>
    </w:p>
    <w:p>
      <w:r>
        <w:rPr>
          <w:rFonts w:ascii="Courier New" w:hAnsi="Courier New"/>
        </w:rPr>
        <w:t>base_model = keras.applications.VGG16(</w:t>
        <w:br/>
        <w:t xml:space="preserve">    weights='imagenet', include_top=False, input_shape=(224, 224, 3)</w:t>
        <w:br/>
        <w:t>)</w:t>
        <w:br/>
        <w:t>for layer in base_model.layers:</w:t>
        <w:br/>
        <w:t xml:space="preserve">    layer.trainable = False</w:t>
        <w:br/>
        <w:br/>
        <w:t>model = keras.Sequential([</w:t>
        <w:br/>
        <w:t xml:space="preserve">    base_model,</w:t>
        <w:br/>
        <w:t xml:space="preserve">    keras.layers.Flatten(),</w:t>
        <w:br/>
        <w:t xml:space="preserve">    keras.layers.Dense(256, activation='relu'),</w:t>
        <w:br/>
        <w:t xml:space="preserve">    keras.layers.Dropout(0.5),</w:t>
        <w:br/>
        <w:t xml:space="preserve">    keras.layers.Dense(num_classes, activation='softmax')</w:t>
        <w:br/>
        <w:t>])</w:t>
      </w:r>
    </w:p>
    <w:p>
      <w:pPr>
        <w:pStyle w:val="Heading1"/>
      </w:pPr>
      <w:r>
        <w:t>5. Transfer Learning and Fine-Tuning</w:t>
      </w:r>
    </w:p>
    <w:p>
      <w:r>
        <w:t>Transfer learning reuses pre-trained parameters from ImageNet to accelerate convergence. By freezing convolutional layers, only the dense layers at the top of the model are trained on new data. Once stabilized, selective unfreezing allows fine-tuning—adapting higher-level filters to the GC10 defect domain.</w:t>
      </w:r>
    </w:p>
    <w:p>
      <w:r>
        <w:t>Gradient flow through frozen layers is suppressed, minimizing computational load. Fine-tuning modifies only a subset of layers with a smaller learning rate to avoid catastrophic forgetting.</w:t>
      </w:r>
    </w:p>
    <w:p>
      <w:pPr>
        <w:pStyle w:val="Heading1"/>
      </w:pPr>
      <w:r>
        <w:t>6. Training Configuration and Hyperparameters</w:t>
      </w:r>
    </w:p>
    <w:p>
      <w:r>
        <w:t>Training uses categorical cross-entropy as the loss function and the Adam optimizer for adaptive learning rate updates. A batch size of 32 is typical, balancing GPU memory use and gradient stability. The FORCE_RETRAIN flag determines whether a new model is trained or an existing one is reused.</w:t>
      </w:r>
    </w:p>
    <w:p>
      <w:r>
        <w:rPr>
          <w:rFonts w:ascii="Courier New" w:hAnsi="Courier New"/>
        </w:rPr>
        <w:t>model.compile(</w:t>
        <w:br/>
        <w:t xml:space="preserve">    optimizer=keras.optimizers.Adam(learning_rate=1e-4),</w:t>
        <w:br/>
        <w:t xml:space="preserve">    loss='categorical_crossentropy',</w:t>
        <w:br/>
        <w:t xml:space="preserve">    metrics=['accuracy']</w:t>
        <w:br/>
        <w:t>)</w:t>
        <w:br/>
        <w:br/>
        <w:t>history = model.fit(train_ds, validation_data=val_ds, epochs=30)</w:t>
      </w:r>
    </w:p>
    <w:p>
      <w:r>
        <w:t>Checkpoints and metadata ensure reproducibility. Each training session stores `.keras` weights and a `.meta.json` file capturing architecture and class definitions.</w:t>
      </w:r>
    </w:p>
    <w:p>
      <w:pPr>
        <w:pStyle w:val="Heading1"/>
      </w:pPr>
      <w:r>
        <w:t>7. Model Evaluation and Metrics</w:t>
      </w:r>
    </w:p>
    <w:p>
      <w:r>
        <w:t>Training performance is tracked via accuracy and loss plots. Matplotlib is used to visualize learning progression, with curves indicating convergence and generalization quality.</w:t>
      </w:r>
    </w:p>
    <w:p>
      <w:r>
        <w:rPr>
          <w:rFonts w:ascii="Courier New" w:hAnsi="Courier New"/>
        </w:rPr>
        <w:t>plt.figure(figsize=(8,4))</w:t>
        <w:br/>
        <w:t>plt.plot(history.history['accuracy'], label='Train Accuracy')</w:t>
        <w:br/>
        <w:t>plt.plot(history.history['val_accuracy'], label='Validation Accuracy')</w:t>
        <w:br/>
        <w:t>plt.xlabel('Epoch'); plt.ylabel('Accuracy'); plt.legend(); plt.show()</w:t>
      </w:r>
    </w:p>
    <w:p>
      <w:r>
        <w:t>Key metrics include accuracy, precision, recall, and F1-score, depending on class balance. Confusion matrices can highlight systematic misclassifications, revealing potential label ambiguities or data imbalance.</w:t>
      </w:r>
    </w:p>
    <w:p>
      <w:pPr>
        <w:pStyle w:val="Heading1"/>
      </w:pPr>
      <w:r>
        <w:t>8. TensorFlow Runtime Mechanics</w:t>
      </w:r>
    </w:p>
    <w:p>
      <w:r>
        <w:t>TensorFlow executes operations as computation graphs. In eager mode, operations run immediately, providing debugging flexibility. When decorated with `@tf.function`, TensorFlow compiles Python functions into static graphs optimized for GPU execution.</w:t>
      </w:r>
    </w:p>
    <w:p>
      <w:r>
        <w:t>Automatic differentiation, or autodiff, tracks operations on tensors to compute gradients for backpropagation. The optimizer then updates trainable parameters to minimize the loss function. GPU parallelism allows multiple convolution operations to execute simultaneously.</w:t>
      </w:r>
    </w:p>
    <w:p>
      <w:pPr>
        <w:pStyle w:val="Heading1"/>
      </w:pPr>
      <w:r>
        <w:t>9. Model Persistence and Reuse</w:t>
      </w:r>
    </w:p>
    <w:p>
      <w:r>
        <w:t>Trained models are stored using TensorFlow’s SavedModel format via `.keras` serialization. Metadata files record class labels, preprocessing, and architecture, enabling full restoration for inference.</w:t>
      </w:r>
    </w:p>
    <w:p>
      <w:r>
        <w:rPr>
          <w:rFonts w:ascii="Courier New" w:hAnsi="Courier New"/>
        </w:rPr>
        <w:t>model.save('data/model/vgg16/vgg16_model.keras')</w:t>
        <w:br/>
        <w:t>with open('data/model/vgg16/vgg16_model.meta.json', 'w') as f:</w:t>
        <w:br/>
        <w:t xml:space="preserve">    json.dump(meta, f, indent=4)</w:t>
      </w:r>
    </w:p>
    <w:p>
      <w:pPr>
        <w:pStyle w:val="Heading1"/>
      </w:pPr>
      <w:r>
        <w:t>10. Future Enhancements</w:t>
      </w:r>
    </w:p>
    <w:p>
      <w:r>
        <w:t>1. Replace VGG16 with EfficientNet for better performance-to-parameter ratio.</w:t>
        <w:br/>
        <w:t>2. Integrate `tf.data.AUTOTUNE` to optimize pipeline latency.</w:t>
        <w:br/>
        <w:t>3. Add early stopping and learning-rate scheduling callbacks.</w:t>
        <w:br/>
        <w:t>4. Expand augmentation to include random rotation, color jitter, and cutout.</w:t>
        <w:br/>
        <w:t>5. Use mixed precision training for faster GPU throughput.</w:t>
      </w:r>
    </w:p>
    <w:p>
      <w:pPr>
        <w:pStyle w:val="Heading1"/>
      </w:pPr>
      <w:r>
        <w:t>11. Conclusion</w:t>
      </w:r>
    </w:p>
    <w:p>
      <w:r>
        <w:t>The GC10 Defect Classifier demonstrates a robust TensorFlow pipeline with transfer learning. This deep dive elucidates the architectural and operational mechanics of the system, providing a foundation for both academic learning and industrial extension.</w:t>
      </w:r>
    </w:p>
    <w:p>
      <w:r>
        <w:br w:type="page"/>
      </w:r>
    </w:p>
    <w:p>
      <w:pPr>
        <w:pStyle w:val="Heading1"/>
      </w:pPr>
      <w:r>
        <w:t>10A. Alternative Architectures and Comparative Transfer Learning</w:t>
      </w:r>
    </w:p>
    <w:p>
      <w:r>
        <w:t>While the GC10 Defect Classifier notebook primarily demonstrates transfer learning with VGG16, it also supports other convolutional neural network architectures—namely InceptionV3, ResNet50, Xception, and MobileNetV2. Each architecture represents a distinct design philosophy and is pre-trained on ImageNet, enabling effective feature reuse for industrial defect classification.</w:t>
      </w:r>
    </w:p>
    <w:p>
      <w:r>
        <w:t>The notebook’s modular design allows easy substitution among these architectures through configuration parameters. This flexibility supports experimentation with trade-offs in speed, accuracy, and model size, making it ideal for both research benchmarking and deployment optimization.</w:t>
      </w:r>
    </w:p>
    <w:p>
      <w:r>
        <w:t>Representative architecture selection logic:</w:t>
      </w:r>
    </w:p>
    <w:p>
      <w:r>
        <w:rPr>
          <w:rFonts w:ascii="Courier New" w:hAnsi="Courier New"/>
        </w:rPr>
        <w:t>from tensorflow.keras.applications import (</w:t>
        <w:br/>
        <w:t xml:space="preserve">    VGG16, InceptionV3, ResNet50, Xception, MobileNetV2</w:t>
        <w:br/>
        <w:t>)</w:t>
        <w:br/>
        <w:br/>
        <w:t>def build_model(model_name, image_size, num_classes):</w:t>
        <w:br/>
        <w:t xml:space="preserve">    base_model = None</w:t>
        <w:br/>
        <w:t xml:space="preserve">    if model_name == 'VGG16':</w:t>
        <w:br/>
        <w:t xml:space="preserve">        base_model = VGG16(weights='imagenet', include_top=False, input_shape=(*image_size, 3))</w:t>
        <w:br/>
        <w:t xml:space="preserve">    elif model_name == 'InceptionV3':</w:t>
        <w:br/>
        <w:t xml:space="preserve">        base_model = InceptionV3(weights='imagenet', include_top=False, input_shape=(*image_size, 3))</w:t>
        <w:br/>
        <w:t xml:space="preserve">    elif model_name == 'ResNet50':</w:t>
        <w:br/>
        <w:t xml:space="preserve">        base_model = ResNet50(weights='imagenet', include_top=False, input_shape=(*image_size, 3))</w:t>
        <w:br/>
        <w:t xml:space="preserve">    elif model_name == 'Xception':</w:t>
        <w:br/>
        <w:t xml:space="preserve">        base_model = Xception(weights='imagenet', include_top=False, input_shape=(*image_size, 3))</w:t>
        <w:br/>
        <w:t xml:space="preserve">    elif model_name == 'MobileNetV2':</w:t>
        <w:br/>
        <w:t xml:space="preserve">        base_model = MobileNetV2(weights='imagenet', include_top=False, input_shape=(*image_size, 3))</w:t>
        <w:br/>
        <w:t xml:space="preserve">    base_model.trainable = False</w:t>
        <w:br/>
        <w:br/>
        <w:t xml:space="preserve">    model = keras.Sequential([</w:t>
        <w:br/>
        <w:t xml:space="preserve">        base_model,</w:t>
        <w:br/>
        <w:t xml:space="preserve">        keras.layers.GlobalAveragePooling2D(),</w:t>
        <w:br/>
        <w:t xml:space="preserve">        keras.layers.Dense(256, activation='relu'),</w:t>
        <w:br/>
        <w:t xml:space="preserve">        keras.layers.Dropout(0.5),</w:t>
        <w:br/>
        <w:t xml:space="preserve">        keras.layers.Dense(num_classes, activation='softmax')</w:t>
        <w:br/>
        <w:t xml:space="preserve">    ])</w:t>
        <w:br/>
        <w:t xml:space="preserve">    return model</w:t>
      </w:r>
    </w:p>
    <w:p>
      <w:r>
        <w:t>Each architecture requires a specific input image size: 224×224 for VGG16, ResNet50, and MobileNetV2, and 299×299 for InceptionV3 and Xception. These differences arise from the original ImageNet training setups.</w:t>
      </w:r>
    </w:p>
    <w:p>
      <w:pPr>
        <w:pStyle w:val="Heading2"/>
      </w:pPr>
      <w:r>
        <w:t>Comparative Observations</w:t>
      </w:r>
    </w:p>
    <w:p>
      <w:r>
        <w:t>• **VGG16** serves as the pedagogical baseline—large but straightforward, ideal for feature visualization and interpretability.</w:t>
        <w:br/>
        <w:t>• **ResNet50** offers a balance between depth and efficiency due to its skip connections that stabilize gradient flow.</w:t>
        <w:br/>
        <w:t>• **InceptionV3** and **Xception** handle multi-scale and fine-grained defect features effectively, improving accuracy for irregular surface textures.</w:t>
        <w:br/>
        <w:t>• **MobileNetV2** is optimized for embedded or AR/VR systems like Magic Leap 2, where real-time inference is critical.</w:t>
      </w:r>
    </w:p>
    <w:p>
      <w:r>
        <w:t>By supporting multiple pre-trained backbones, the GC10 framework allows side-by-side comparison of performance metrics—accuracy, inference latency, and parameter count—to select the most suitable model for each operational context.</w:t>
      </w:r>
    </w:p>
    <w:p>
      <w:pPr>
        <w:pStyle w:val="Heading2"/>
      </w:pPr>
      <w:r>
        <w:t>Empirical Guidance</w:t>
      </w:r>
    </w:p>
    <w:p>
      <w:r>
        <w:t>Typical trends observed when applying these architectures to industrial image datasets include:</w:t>
        <w:br/>
        <w:t>• ResNet50 and Xception often outperform VGG16 in accuracy with fewer parameters.</w:t>
        <w:br/>
        <w:t>• MobileNetV2 delivers rapid inference at the cost of modest accuracy reduction.</w:t>
        <w:br/>
        <w:t>• InceptionV3 performs well on varied lighting or scale conditions due to its multi-path structure.</w:t>
        <w:br/>
        <w:t>• Xception’s separable convolutions achieve state-of-the-art efficiency and precision in many industrial vision tasks.</w:t>
      </w:r>
    </w:p>
    <w:p>
      <w:r>
        <w:br w:type="page"/>
      </w:r>
    </w:p>
    <w:p>
      <w:pPr>
        <w:pStyle w:val="Heading1"/>
      </w:pPr>
      <w:r>
        <w:t>10B. Model Performance Comparison and Selection Guidelines</w:t>
      </w:r>
    </w:p>
    <w:p>
      <w:r>
        <w:t>This section provides a structured template for documenting the empirical performance of each pre-trained architecture used within the GC10 Defect Classifier framework. Actual results should be filled in following model training and evaluation. Metrics such as accuracy, loss, training duration, and model footprint provide insight into the trade-offs between architectures.</w:t>
      </w:r>
    </w:p>
    <w:p>
      <w:r>
        <w:t>These fields allow for side-by-side comparison once model evaluation results are available. Validation accuracy provides a measure of predictive performance, while training time and model size help evaluate efficiency and deployability.</w:t>
      </w:r>
    </w:p>
    <w:p>
      <w:pPr>
        <w:pStyle w:val="Heading2"/>
      </w:pPr>
      <w:r>
        <w:t>Model Selection Guidelines</w:t>
      </w:r>
    </w:p>
    <w:p>
      <w:r>
        <w:t>The following matrix can be used to guide architecture selection based on operational constraints, deployment platform, and accuracy requirements.</w:t>
      </w:r>
    </w:p>
    <w:tbl>
      <w:tblPr>
        <w:tblW w:type="auto" w:w="0"/>
        <w:tblLook w:firstColumn="1" w:firstRow="1" w:lastColumn="0" w:lastRow="0" w:noHBand="0" w:noVBand="1" w:val="04A0"/>
      </w:tblPr>
      <w:tblGrid>
        <w:gridCol w:w="2160"/>
        <w:gridCol w:w="2160"/>
        <w:gridCol w:w="2160"/>
        <w:gridCol w:w="2160"/>
      </w:tblGrid>
      <w:tr>
        <w:tc>
          <w:tcPr>
            <w:tcW w:type="dxa" w:w="2160"/>
          </w:tcPr>
          <w:p>
            <w:r>
              <w:t>Scenario / Environment</w:t>
            </w:r>
          </w:p>
        </w:tc>
        <w:tc>
          <w:tcPr>
            <w:tcW w:type="dxa" w:w="2160"/>
          </w:tcPr>
          <w:p>
            <w:r>
              <w:t>Recommended Model(s)</w:t>
            </w:r>
          </w:p>
        </w:tc>
        <w:tc>
          <w:tcPr>
            <w:tcW w:type="dxa" w:w="2160"/>
          </w:tcPr>
          <w:p>
            <w:r>
              <w:t>Rationale</w:t>
            </w:r>
          </w:p>
        </w:tc>
        <w:tc>
          <w:tcPr>
            <w:tcW w:type="dxa" w:w="2160"/>
          </w:tcPr>
          <w:p>
            <w:r>
              <w:t>Deployment Considerations</w:t>
            </w:r>
          </w:p>
        </w:tc>
      </w:tr>
      <w:tr>
        <w:tc>
          <w:tcPr>
            <w:tcW w:type="dxa" w:w="2160"/>
          </w:tcPr>
          <w:p>
            <w:r>
              <w:t>High-accuracy, server-based inspection</w:t>
            </w:r>
          </w:p>
        </w:tc>
        <w:tc>
          <w:tcPr>
            <w:tcW w:type="dxa" w:w="2160"/>
          </w:tcPr>
          <w:p>
            <w:r>
              <w:t>Xception / InceptionV3</w:t>
            </w:r>
          </w:p>
        </w:tc>
        <w:tc>
          <w:tcPr>
            <w:tcW w:type="dxa" w:w="2160"/>
          </w:tcPr>
          <w:p>
            <w:r>
              <w:t>Superior multi-scale feature extraction and generalization</w:t>
            </w:r>
          </w:p>
        </w:tc>
        <w:tc>
          <w:tcPr>
            <w:tcW w:type="dxa" w:w="2160"/>
          </w:tcPr>
          <w:p>
            <w:r>
              <w:t>Sufficient GPU memory available; prioritize accuracy over latency</w:t>
            </w:r>
          </w:p>
        </w:tc>
      </w:tr>
      <w:tr>
        <w:tc>
          <w:tcPr>
            <w:tcW w:type="dxa" w:w="2160"/>
          </w:tcPr>
          <w:p>
            <w:r>
              <w:t>Balanced accuracy and speed</w:t>
            </w:r>
          </w:p>
        </w:tc>
        <w:tc>
          <w:tcPr>
            <w:tcW w:type="dxa" w:w="2160"/>
          </w:tcPr>
          <w:p>
            <w:r>
              <w:t>ResNet50</w:t>
            </w:r>
          </w:p>
        </w:tc>
        <w:tc>
          <w:tcPr>
            <w:tcW w:type="dxa" w:w="2160"/>
          </w:tcPr>
          <w:p>
            <w:r>
              <w:t>Strong generalization with efficient parameter count</w:t>
            </w:r>
          </w:p>
        </w:tc>
        <w:tc>
          <w:tcPr>
            <w:tcW w:type="dxa" w:w="2160"/>
          </w:tcPr>
          <w:p>
            <w:r>
              <w:t>Suitable for workstation and mid-range GPU deployment</w:t>
            </w:r>
          </w:p>
        </w:tc>
      </w:tr>
      <w:tr>
        <w:tc>
          <w:tcPr>
            <w:tcW w:type="dxa" w:w="2160"/>
          </w:tcPr>
          <w:p>
            <w:r>
              <w:t>Lightweight, real-time AR/VR deployment</w:t>
            </w:r>
          </w:p>
        </w:tc>
        <w:tc>
          <w:tcPr>
            <w:tcW w:type="dxa" w:w="2160"/>
          </w:tcPr>
          <w:p>
            <w:r>
              <w:t>MobileNetV2</w:t>
            </w:r>
          </w:p>
        </w:tc>
        <w:tc>
          <w:tcPr>
            <w:tcW w:type="dxa" w:w="2160"/>
          </w:tcPr>
          <w:p>
            <w:r>
              <w:t>Optimized for low-latency inference and small footprint</w:t>
            </w:r>
          </w:p>
        </w:tc>
        <w:tc>
          <w:tcPr>
            <w:tcW w:type="dxa" w:w="2160"/>
          </w:tcPr>
          <w:p>
            <w:r>
              <w:t>Ideal for Magic Leap 2, Meta Quest 3, or embedded devices</w:t>
            </w:r>
          </w:p>
        </w:tc>
      </w:tr>
      <w:tr>
        <w:tc>
          <w:tcPr>
            <w:tcW w:type="dxa" w:w="2160"/>
          </w:tcPr>
          <w:p>
            <w:r>
              <w:t>Baseline educational or diagnostic testing</w:t>
            </w:r>
          </w:p>
        </w:tc>
        <w:tc>
          <w:tcPr>
            <w:tcW w:type="dxa" w:w="2160"/>
          </w:tcPr>
          <w:p>
            <w:r>
              <w:t>VGG16</w:t>
            </w:r>
          </w:p>
        </w:tc>
        <w:tc>
          <w:tcPr>
            <w:tcW w:type="dxa" w:w="2160"/>
          </w:tcPr>
          <w:p>
            <w:r>
              <w:t>Simpler architecture, useful for interpretability and visualization</w:t>
            </w:r>
          </w:p>
        </w:tc>
        <w:tc>
          <w:tcPr>
            <w:tcW w:type="dxa" w:w="2160"/>
          </w:tcPr>
          <w:p>
            <w:r>
              <w:t>High resource demand; not optimal for production</w:t>
            </w:r>
          </w:p>
        </w:tc>
      </w:tr>
    </w:tbl>
    <w:p>
      <w:r>
        <w:t>When populating the above tables, ensure consistent evaluation settings (same image preprocessing, batch size, and data splits) to maintain comparability across architectures. Include notes on any observed overfitting, convergence issues, or data sensitivity.</w:t>
      </w:r>
    </w:p>
    <w:p>
      <w:r>
        <w:t>Beyond developing a defect classifier, this project incorporates a comparative benchmarking study of multiple transfer learning architectures—VGG16, Xception, and InceptionResNetV2. This evaluation aims to determine how each network balances accuracy, computational efficiency, and feature generalization on the GC10 industrial dataset. The study supports model selection for real-time deployment scenarios and serves as a reference for future optimization efforts.</w:t>
      </w:r>
    </w:p>
    <w:p>
      <w:r>
        <w:t>The following section presents the preliminary results from these architectures and illustrates how their comparative performance informs the selection of appropriate models for both high-accuracy and real-time operational contexts.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Validation Accuracy (%)</w:t>
            </w:r>
          </w:p>
        </w:tc>
        <w:tc>
          <w:tcPr>
            <w:tcW w:type="dxa" w:w="1728"/>
          </w:tcPr>
          <w:p>
            <w:r>
              <w:t>Training Time (per epoch)</w:t>
            </w:r>
          </w:p>
        </w:tc>
        <w:tc>
          <w:tcPr>
            <w:tcW w:type="dxa" w:w="1728"/>
          </w:tcPr>
          <w:p>
            <w:r>
              <w:t>Model Size (MB)</w:t>
            </w:r>
          </w:p>
        </w:tc>
        <w:tc>
          <w:tcPr>
            <w:tcW w:type="dxa" w:w="1728"/>
          </w:tcPr>
          <w:p>
            <w:r>
              <w:t>Notes</w:t>
            </w:r>
          </w:p>
        </w:tc>
      </w:tr>
      <w:tr>
        <w:tc>
          <w:tcPr>
            <w:tcW w:type="dxa" w:w="1728"/>
          </w:tcPr>
          <w:p>
            <w:r>
              <w:t>VGG16</w:t>
            </w:r>
          </w:p>
        </w:tc>
        <w:tc>
          <w:tcPr>
            <w:tcW w:type="dxa" w:w="1728"/>
          </w:tcPr>
          <w:p>
            <w:r>
              <w:t>15</w:t>
            </w:r>
          </w:p>
        </w:tc>
        <w:tc>
          <w:tcPr>
            <w:tcW w:type="dxa" w:w="1728"/>
          </w:tcPr>
          <w:p>
            <w:r>
              <w:t>-</w:t>
            </w:r>
          </w:p>
        </w:tc>
        <w:tc>
          <w:tcPr>
            <w:tcW w:type="dxa" w:w="1728"/>
          </w:tcPr>
          <w:p>
            <w:r>
              <w:t>530</w:t>
            </w:r>
          </w:p>
        </w:tc>
        <w:tc>
          <w:tcPr>
            <w:tcW w:type="dxa" w:w="1728"/>
          </w:tcPr>
          <w:p>
            <w:r>
              <w:t>Baseline model; MAE ≈ 0.02–0.03; strong accuracy on bounding box predictions</w:t>
            </w:r>
          </w:p>
        </w:tc>
      </w:tr>
      <w:tr>
        <w:tc>
          <w:tcPr>
            <w:tcW w:type="dxa" w:w="1728"/>
          </w:tcPr>
          <w:p>
            <w:r>
              <w:t>Xception</w:t>
            </w:r>
          </w:p>
        </w:tc>
        <w:tc>
          <w:tcPr>
            <w:tcW w:type="dxa" w:w="1728"/>
          </w:tcPr>
          <w:p>
            <w:r>
              <w:t>16</w:t>
            </w:r>
          </w:p>
        </w:tc>
        <w:tc>
          <w:tcPr>
            <w:tcW w:type="dxa" w:w="1728"/>
          </w:tcPr>
          <w:p>
            <w:r>
              <w:t>-</w:t>
            </w:r>
          </w:p>
        </w:tc>
        <w:tc>
          <w:tcPr>
            <w:tcW w:type="dxa" w:w="1728"/>
          </w:tcPr>
          <w:p>
            <w:r>
              <w:t>88</w:t>
            </w:r>
          </w:p>
        </w:tc>
        <w:tc>
          <w:tcPr>
            <w:tcW w:type="dxa" w:w="1728"/>
          </w:tcPr>
          <w:p>
            <w:r>
              <w:t>Improved MAE (≈ 0.01–0.012); good generalization</w:t>
            </w:r>
          </w:p>
        </w:tc>
      </w:tr>
      <w:tr>
        <w:tc>
          <w:tcPr>
            <w:tcW w:type="dxa" w:w="1728"/>
          </w:tcPr>
          <w:p>
            <w:r>
              <w:t>InceptionResNetV2</w:t>
            </w:r>
          </w:p>
        </w:tc>
        <w:tc>
          <w:tcPr>
            <w:tcW w:type="dxa" w:w="1728"/>
          </w:tcPr>
          <w:p>
            <w:r>
              <w:t>-</w:t>
            </w:r>
          </w:p>
        </w:tc>
        <w:tc>
          <w:tcPr>
            <w:tcW w:type="dxa" w:w="1728"/>
          </w:tcPr>
          <w:p>
            <w:r>
              <w:t>-</w:t>
            </w:r>
          </w:p>
        </w:tc>
        <w:tc>
          <w:tcPr>
            <w:tcW w:type="dxa" w:w="1728"/>
          </w:tcPr>
          <w:p>
            <w:r>
              <w:t>200</w:t>
            </w:r>
          </w:p>
        </w:tc>
        <w:tc>
          <w:tcPr>
            <w:tcW w:type="dxa" w:w="1728"/>
          </w:tcPr>
          <w:p>
            <w:r>
              <w:t>Model loaded successfully; further fine-tuning needed</w:t>
            </w:r>
          </w:p>
        </w:tc>
      </w:tr>
      <w:tr>
        <w:tc>
          <w:tcPr>
            <w:tcW w:type="dxa" w:w="1728"/>
          </w:tcPr>
          <w:p>
            <w:r>
              <w:t>ResNet50</w:t>
            </w:r>
          </w:p>
        </w:tc>
        <w:tc>
          <w:tcPr>
            <w:tcW w:type="dxa" w:w="1728"/>
          </w:tcPr>
          <w:p>
            <w:r/>
          </w:p>
        </w:tc>
        <w:tc>
          <w:tcPr>
            <w:tcW w:type="dxa" w:w="1728"/>
          </w:tcPr>
          <w:p>
            <w:r/>
          </w:p>
        </w:tc>
        <w:tc>
          <w:tcPr>
            <w:tcW w:type="dxa" w:w="1728"/>
          </w:tcPr>
          <w:p>
            <w:r/>
          </w:p>
        </w:tc>
        <w:tc>
          <w:tcPr>
            <w:tcW w:type="dxa" w:w="1728"/>
          </w:tcPr>
          <w:p>
            <w:r>
              <w:t>Not executed in current notebook</w:t>
            </w:r>
          </w:p>
        </w:tc>
      </w:tr>
      <w:tr>
        <w:tc>
          <w:tcPr>
            <w:tcW w:type="dxa" w:w="1728"/>
          </w:tcPr>
          <w:p>
            <w:r>
              <w:t>MobileNetV2</w:t>
            </w:r>
          </w:p>
        </w:tc>
        <w:tc>
          <w:tcPr>
            <w:tcW w:type="dxa" w:w="1728"/>
          </w:tcPr>
          <w:p>
            <w:r/>
          </w:p>
        </w:tc>
        <w:tc>
          <w:tcPr>
            <w:tcW w:type="dxa" w:w="1728"/>
          </w:tcPr>
          <w:p>
            <w:r/>
          </w:p>
        </w:tc>
        <w:tc>
          <w:tcPr>
            <w:tcW w:type="dxa" w:w="1728"/>
          </w:tcPr>
          <w:p>
            <w:r/>
          </w:p>
        </w:tc>
        <w:tc>
          <w:tcPr>
            <w:tcW w:type="dxa" w:w="1728"/>
          </w:tcPr>
          <w:p>
            <w:r>
              <w:t>Not executed in current notebook</w:t>
            </w:r>
          </w:p>
        </w:tc>
      </w:tr>
    </w:tbl>
    <w:p>
      <w:r>
        <w:t>Overall, the model comparison framework establishes a foundation for selecting architectures suited to the specific needs of industrial defect classification. While VGG16 provides interpretability and baseline consistency, Xception demonstrates enhanced precision at reduced error margins. Future evaluations will refine InceptionResNetV2 and introduce ResNet50 and MobileNetV2 results to complete the performance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