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A4" w:rsidRDefault="00417F3D">
      <w:pPr>
        <w:pStyle w:val="Heading6"/>
        <w:pBdr>
          <w:top w:val="single" w:sz="6" w:space="0" w:color="auto"/>
        </w:pBdr>
      </w:pPr>
      <w:r>
        <w:t xml:space="preserve">Lecture #1 - </w:t>
      </w:r>
      <w:r w:rsidR="007E6CB0">
        <w:t xml:space="preserve">Composition of the Earth </w:t>
      </w:r>
    </w:p>
    <w:p w:rsidR="002224EE" w:rsidRDefault="002224EE" w:rsidP="004025C5">
      <w:pPr>
        <w:ind w:left="720"/>
        <w:jc w:val="both"/>
      </w:pPr>
    </w:p>
    <w:p w:rsidR="00FF4CAE" w:rsidRDefault="00FF4CAE" w:rsidP="004F6EE3">
      <w:pPr>
        <w:pStyle w:val="Heading2"/>
        <w:jc w:val="both"/>
        <w:rPr>
          <w:b/>
          <w:bCs/>
          <w:sz w:val="24"/>
          <w:u w:val="none"/>
        </w:rPr>
      </w:pPr>
    </w:p>
    <w:p w:rsidR="00417F3D" w:rsidRDefault="00417F3D" w:rsidP="00417F3D">
      <w:r>
        <w:t>Just some copy/paste of stub materials that might go into such a lecture.</w:t>
      </w:r>
      <w:bookmarkStart w:id="0" w:name="_GoBack"/>
      <w:bookmarkEnd w:id="0"/>
    </w:p>
    <w:p w:rsidR="00417F3D" w:rsidRPr="00417F3D" w:rsidRDefault="00417F3D" w:rsidP="00417F3D"/>
    <w:p w:rsidR="004F6EE3" w:rsidRDefault="004F6EE3" w:rsidP="004F6EE3">
      <w:pPr>
        <w:pStyle w:val="Heading2"/>
        <w:jc w:val="both"/>
        <w:rPr>
          <w:b/>
          <w:bCs/>
          <w:sz w:val="24"/>
          <w:u w:val="none"/>
        </w:rPr>
      </w:pPr>
      <w:r>
        <w:rPr>
          <w:b/>
          <w:bCs/>
          <w:sz w:val="24"/>
          <w:u w:val="none"/>
        </w:rPr>
        <w:t>1</w:t>
      </w:r>
      <w:r w:rsidRPr="00D20D73">
        <w:rPr>
          <w:b/>
          <w:bCs/>
          <w:sz w:val="24"/>
          <w:u w:val="none"/>
        </w:rPr>
        <w:t xml:space="preserve">. </w:t>
      </w:r>
      <w:r w:rsidR="00053EE8">
        <w:rPr>
          <w:b/>
          <w:bCs/>
          <w:sz w:val="24"/>
          <w:u w:val="none"/>
        </w:rPr>
        <w:t>1D Radial profiles</w:t>
      </w:r>
    </w:p>
    <w:p w:rsidR="00053EE8" w:rsidRDefault="00053EE8" w:rsidP="00053EE8"/>
    <w:p w:rsidR="00053EE8" w:rsidRDefault="00053EE8" w:rsidP="00053EE8">
      <w:pPr>
        <w:jc w:val="both"/>
      </w:pPr>
      <w:r>
        <w:t>Seismic imaging gives us the most direct way to probe the Earth’s interior.  We will talk about how to do this when we get to seismic techniques.  But, for now, let’s just look at the 1D average structure of the Earth as determined through seismology</w:t>
      </w:r>
      <w:r w:rsidR="00524088">
        <w:t xml:space="preserve"> – with special attention to the density structure</w:t>
      </w:r>
      <w:r>
        <w:t>.</w:t>
      </w:r>
      <w:r w:rsidR="00524088">
        <w:t xml:space="preserve">  Note, Earth’s free oscillations (or normal modes) are particularly sensitive to the Earth’s density structure, and hence this density model is derived from those observations.</w:t>
      </w:r>
    </w:p>
    <w:p w:rsidR="007B1DE2" w:rsidRDefault="007B1DE2" w:rsidP="00053EE8">
      <w:pPr>
        <w:jc w:val="both"/>
      </w:pPr>
    </w:p>
    <w:p w:rsidR="007B1DE2" w:rsidRDefault="007B1DE2" w:rsidP="00053EE8">
      <w:pPr>
        <w:jc w:val="both"/>
      </w:pPr>
      <w:r>
        <w:t>Currently the PREM (</w:t>
      </w:r>
      <w:r w:rsidRPr="007B1DE2">
        <w:rPr>
          <w:b/>
          <w:color w:val="943634" w:themeColor="accent2" w:themeShade="BF"/>
        </w:rPr>
        <w:t>P</w:t>
      </w:r>
      <w:r>
        <w:t xml:space="preserve">reliminary </w:t>
      </w:r>
      <w:r w:rsidRPr="007B1DE2">
        <w:rPr>
          <w:b/>
          <w:color w:val="943634" w:themeColor="accent2" w:themeShade="BF"/>
        </w:rPr>
        <w:t>R</w:t>
      </w:r>
      <w:r>
        <w:t xml:space="preserve">eference </w:t>
      </w:r>
      <w:r w:rsidRPr="007B1DE2">
        <w:rPr>
          <w:b/>
          <w:color w:val="943634" w:themeColor="accent2" w:themeShade="BF"/>
        </w:rPr>
        <w:t>E</w:t>
      </w:r>
      <w:r>
        <w:t xml:space="preserve">arth </w:t>
      </w:r>
      <w:r w:rsidRPr="007B1DE2">
        <w:rPr>
          <w:b/>
          <w:color w:val="943634" w:themeColor="accent2" w:themeShade="BF"/>
        </w:rPr>
        <w:t>M</w:t>
      </w:r>
      <w:r>
        <w:t>odel) derived by Adam Dziewonski and Don Anderson in 1981 is still the standard Earth model used (although other updated models now exist – e.g., IASP91, AK135, etc).</w:t>
      </w:r>
      <w:r w:rsidR="007851AE">
        <w:t xml:space="preserve">  The next figure shows what this model looks like:</w:t>
      </w:r>
    </w:p>
    <w:p w:rsidR="002A7BA5" w:rsidRDefault="002A7BA5" w:rsidP="00053EE8">
      <w:pPr>
        <w:jc w:val="both"/>
      </w:pPr>
    </w:p>
    <w:tbl>
      <w:tblPr>
        <w:tblStyle w:val="TableGrid"/>
        <w:tblW w:w="0" w:type="auto"/>
        <w:tblLook w:val="04A0" w:firstRow="1" w:lastRow="0" w:firstColumn="1" w:lastColumn="0" w:noHBand="0" w:noVBand="1"/>
      </w:tblPr>
      <w:tblGrid>
        <w:gridCol w:w="8856"/>
      </w:tblGrid>
      <w:tr w:rsidR="002A7BA5" w:rsidTr="002A7BA5">
        <w:tc>
          <w:tcPr>
            <w:tcW w:w="8856" w:type="dxa"/>
          </w:tcPr>
          <w:p w:rsidR="002A7BA5" w:rsidRDefault="002A7BA5" w:rsidP="002A7BA5">
            <w:pPr>
              <w:jc w:val="center"/>
            </w:pPr>
            <w:r>
              <w:rPr>
                <w:noProof/>
              </w:rPr>
              <w:drawing>
                <wp:inline distT="0" distB="0" distL="0" distR="0">
                  <wp:extent cx="3455133"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png"/>
                          <pic:cNvPicPr/>
                        </pic:nvPicPr>
                        <pic:blipFill>
                          <a:blip r:embed="rId8">
                            <a:extLst>
                              <a:ext uri="{28A0092B-C50C-407E-A947-70E740481C1C}">
                                <a14:useLocalDpi xmlns:a14="http://schemas.microsoft.com/office/drawing/2010/main" val="0"/>
                              </a:ext>
                            </a:extLst>
                          </a:blip>
                          <a:stretch>
                            <a:fillRect/>
                          </a:stretch>
                        </pic:blipFill>
                        <pic:spPr>
                          <a:xfrm>
                            <a:off x="0" y="0"/>
                            <a:ext cx="3457771" cy="3843412"/>
                          </a:xfrm>
                          <a:prstGeom prst="rect">
                            <a:avLst/>
                          </a:prstGeom>
                        </pic:spPr>
                      </pic:pic>
                    </a:graphicData>
                  </a:graphic>
                </wp:inline>
              </w:drawing>
            </w:r>
          </w:p>
        </w:tc>
      </w:tr>
    </w:tbl>
    <w:p w:rsidR="002A7BA5" w:rsidRPr="00053EE8" w:rsidRDefault="002A7BA5" w:rsidP="00053EE8">
      <w:pPr>
        <w:jc w:val="both"/>
      </w:pPr>
    </w:p>
    <w:p w:rsidR="00DD39E9" w:rsidRDefault="00ED3680" w:rsidP="000D32CB">
      <w:pPr>
        <w:jc w:val="both"/>
      </w:pPr>
      <w:r>
        <w:t>Just considering density (ρ), we may make the following observations:</w:t>
      </w:r>
    </w:p>
    <w:p w:rsidR="00ED3680" w:rsidRDefault="00ED3680" w:rsidP="000D32CB">
      <w:pPr>
        <w:jc w:val="both"/>
      </w:pPr>
    </w:p>
    <w:p w:rsidR="00ED3680" w:rsidRDefault="00ED3680" w:rsidP="000D32CB">
      <w:pPr>
        <w:pStyle w:val="ListParagraph"/>
        <w:numPr>
          <w:ilvl w:val="0"/>
          <w:numId w:val="9"/>
        </w:numPr>
        <w:jc w:val="both"/>
      </w:pPr>
      <w:r>
        <w:t>There are major jumps at depths of:  220, 410, 670 km, as well as at the core-mantle boundary (CMB) and inner core boundary (ICB).</w:t>
      </w:r>
    </w:p>
    <w:p w:rsidR="00ED3680" w:rsidRDefault="002B38F4" w:rsidP="000D32CB">
      <w:pPr>
        <w:pStyle w:val="ListParagraph"/>
        <w:numPr>
          <w:ilvl w:val="0"/>
          <w:numId w:val="9"/>
        </w:numPr>
        <w:jc w:val="both"/>
      </w:pPr>
      <w:r>
        <w:t>The density increase at the CMB is actually bigger than the density jump at the Earth’s surface.</w:t>
      </w:r>
    </w:p>
    <w:p w:rsidR="002B38F4" w:rsidRDefault="002B38F4" w:rsidP="000D32CB">
      <w:pPr>
        <w:pStyle w:val="ListParagraph"/>
        <w:numPr>
          <w:ilvl w:val="0"/>
          <w:numId w:val="9"/>
        </w:numPr>
        <w:jc w:val="both"/>
      </w:pPr>
      <w:r>
        <w:t>We expect to see a density increase at depths of 410 and 670 km based on olivine phase changes, but why is there a jump at 220 km?</w:t>
      </w:r>
    </w:p>
    <w:p w:rsidR="000D32CB" w:rsidRDefault="000D32CB" w:rsidP="000D32CB"/>
    <w:p w:rsidR="000D32CB" w:rsidRDefault="000D32CB" w:rsidP="000D32CB">
      <w:pPr>
        <w:jc w:val="both"/>
      </w:pPr>
      <w:r>
        <w:t>For now, let’s not worry too much more about this figure, other than to say that seismic techniques have been used to provide us with a good constraint on seismic wave velocity and density structure of the Earth.</w:t>
      </w:r>
    </w:p>
    <w:p w:rsidR="00010214" w:rsidRDefault="00010214" w:rsidP="000D32CB">
      <w:pPr>
        <w:jc w:val="both"/>
      </w:pPr>
    </w:p>
    <w:p w:rsidR="00010214" w:rsidRDefault="00010214" w:rsidP="00010214">
      <w:pPr>
        <w:pStyle w:val="Heading2"/>
        <w:jc w:val="both"/>
        <w:rPr>
          <w:b/>
          <w:bCs/>
          <w:sz w:val="24"/>
          <w:u w:val="none"/>
        </w:rPr>
      </w:pPr>
      <w:r>
        <w:rPr>
          <w:b/>
          <w:bCs/>
          <w:sz w:val="24"/>
          <w:u w:val="none"/>
        </w:rPr>
        <w:t>2</w:t>
      </w:r>
      <w:r w:rsidRPr="00D20D73">
        <w:rPr>
          <w:b/>
          <w:bCs/>
          <w:sz w:val="24"/>
          <w:u w:val="none"/>
        </w:rPr>
        <w:t xml:space="preserve">. </w:t>
      </w:r>
      <w:r>
        <w:rPr>
          <w:b/>
          <w:bCs/>
          <w:sz w:val="24"/>
          <w:u w:val="none"/>
        </w:rPr>
        <w:t>Mass and Moment of Inertia</w:t>
      </w:r>
    </w:p>
    <w:p w:rsidR="00A42E7A" w:rsidRDefault="00A42E7A" w:rsidP="00A42E7A"/>
    <w:p w:rsidR="00FC59D8" w:rsidRPr="00FC59D8" w:rsidRDefault="00FC59D8" w:rsidP="00A42E7A">
      <w:pPr>
        <w:rPr>
          <w:b/>
          <w:i/>
        </w:rPr>
      </w:pPr>
      <w:r w:rsidRPr="00FC59D8">
        <w:rPr>
          <w:b/>
          <w:i/>
        </w:rPr>
        <w:t>2.1 Planetary Mass</w:t>
      </w:r>
    </w:p>
    <w:p w:rsidR="00FC59D8" w:rsidRDefault="00FC59D8" w:rsidP="00A42E7A"/>
    <w:p w:rsidR="00A42E7A" w:rsidRDefault="00A42E7A" w:rsidP="00A42E7A">
      <w:pPr>
        <w:jc w:val="both"/>
      </w:pPr>
      <w:r>
        <w:t>Another important constraint on what the Earth is made of comes from its mass.  But, how do we know the Earth’s mass?</w:t>
      </w:r>
    </w:p>
    <w:p w:rsidR="00A42E7A" w:rsidRDefault="00A42E7A" w:rsidP="00A42E7A">
      <w:pPr>
        <w:jc w:val="both"/>
      </w:pPr>
    </w:p>
    <w:p w:rsidR="00A42E7A" w:rsidRDefault="00A42E7A" w:rsidP="00A42E7A">
      <w:pPr>
        <w:jc w:val="both"/>
      </w:pPr>
      <w:r>
        <w:t>There are a couple of back of the envelope type of calculations we can do to get within the ballpark:</w:t>
      </w:r>
    </w:p>
    <w:p w:rsidR="00A42E7A" w:rsidRDefault="00A42E7A" w:rsidP="00A42E7A">
      <w:pPr>
        <w:jc w:val="both"/>
      </w:pPr>
    </w:p>
    <w:p w:rsidR="00A42E7A" w:rsidRDefault="00A42E7A" w:rsidP="00A42E7A">
      <w:pPr>
        <w:jc w:val="both"/>
      </w:pPr>
      <w:r>
        <w:t>Recall that</w:t>
      </w:r>
      <w:r w:rsidR="00C96615">
        <w:t xml:space="preserve"> from Newton’s second law</w:t>
      </w:r>
      <w:r>
        <w:t>:</w:t>
      </w:r>
    </w:p>
    <w:p w:rsidR="00A42E7A" w:rsidRDefault="00A42E7A" w:rsidP="00A42E7A">
      <w:pPr>
        <w:jc w:val="both"/>
      </w:pPr>
    </w:p>
    <w:p w:rsidR="00A42E7A" w:rsidRPr="00C96615" w:rsidRDefault="00C96615" w:rsidP="00A42E7A">
      <w:pPr>
        <w:jc w:val="both"/>
      </w:pPr>
      <m:oMathPara>
        <m:oMath>
          <m:r>
            <w:rPr>
              <w:rFonts w:ascii="Cambria Math" w:hAnsi="Cambria Math"/>
            </w:rPr>
            <m:t>F=ma</m:t>
          </m:r>
        </m:oMath>
      </m:oMathPara>
    </w:p>
    <w:p w:rsidR="00C96615" w:rsidRDefault="00C96615" w:rsidP="00A42E7A">
      <w:pPr>
        <w:jc w:val="both"/>
      </w:pPr>
    </w:p>
    <w:p w:rsidR="00C96615" w:rsidRDefault="00C96615" w:rsidP="00A42E7A">
      <w:pPr>
        <w:jc w:val="both"/>
      </w:pPr>
      <w:r>
        <w:t>And from Newton’s law of gravitation:</w:t>
      </w:r>
    </w:p>
    <w:p w:rsidR="00C96615" w:rsidRDefault="00C96615" w:rsidP="00A42E7A">
      <w:pPr>
        <w:jc w:val="both"/>
      </w:pPr>
    </w:p>
    <w:p w:rsidR="00C96615" w:rsidRPr="00C96615" w:rsidRDefault="00C96615" w:rsidP="00A42E7A">
      <w:pPr>
        <w:jc w:val="both"/>
      </w:pPr>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m:t>
              </m:r>
            </m:num>
            <m:den>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den>
          </m:f>
        </m:oMath>
      </m:oMathPara>
    </w:p>
    <w:p w:rsidR="00C96615" w:rsidRPr="00C96615" w:rsidRDefault="00C96615" w:rsidP="00A42E7A">
      <w:pPr>
        <w:jc w:val="both"/>
      </w:pPr>
    </w:p>
    <w:p w:rsidR="00C96615" w:rsidRDefault="00C96615" w:rsidP="00A42E7A">
      <w:pPr>
        <w:jc w:val="both"/>
      </w:pPr>
      <w:r>
        <w:t xml:space="preserve">Where, </w:t>
      </w:r>
      <w:r w:rsidRPr="00C96615">
        <w:rPr>
          <w:i/>
        </w:rPr>
        <w:t>m</w:t>
      </w:r>
      <w:r w:rsidRPr="00C96615">
        <w:rPr>
          <w:i/>
          <w:vertAlign w:val="subscript"/>
        </w:rPr>
        <w:t>E</w:t>
      </w:r>
      <w:r>
        <w:t xml:space="preserve"> and </w:t>
      </w:r>
      <w:r w:rsidRPr="00C96615">
        <w:rPr>
          <w:i/>
        </w:rPr>
        <w:t>R</w:t>
      </w:r>
      <w:r w:rsidRPr="00C96615">
        <w:rPr>
          <w:i/>
          <w:vertAlign w:val="subscript"/>
        </w:rPr>
        <w:t>E</w:t>
      </w:r>
      <w:r>
        <w:t xml:space="preserve"> are the mass and radius of the Earth respectively.</w:t>
      </w:r>
    </w:p>
    <w:p w:rsidR="0091491A" w:rsidRDefault="0091491A" w:rsidP="00A42E7A">
      <w:pPr>
        <w:jc w:val="both"/>
      </w:pPr>
    </w:p>
    <w:p w:rsidR="0091491A" w:rsidRDefault="0091491A" w:rsidP="00A42E7A">
      <w:pPr>
        <w:jc w:val="both"/>
      </w:pPr>
      <w:r>
        <w:t>An object with mass, m, will thus experience the force:</w:t>
      </w:r>
    </w:p>
    <w:p w:rsidR="0091491A" w:rsidRDefault="0091491A" w:rsidP="00A42E7A">
      <w:pPr>
        <w:jc w:val="both"/>
      </w:pPr>
    </w:p>
    <w:p w:rsidR="0091491A" w:rsidRPr="0091491A" w:rsidRDefault="0091491A" w:rsidP="00A42E7A">
      <w:pPr>
        <w:jc w:val="both"/>
      </w:pPr>
      <m:oMathPara>
        <m:oMath>
          <m:r>
            <w:rPr>
              <w:rFonts w:ascii="Cambria Math" w:hAnsi="Cambria Math"/>
            </w:rPr>
            <m:t>F=mg</m:t>
          </m:r>
        </m:oMath>
      </m:oMathPara>
    </w:p>
    <w:p w:rsidR="0091491A" w:rsidRDefault="0091491A" w:rsidP="00A42E7A">
      <w:pPr>
        <w:jc w:val="both"/>
      </w:pPr>
    </w:p>
    <w:p w:rsidR="0091491A" w:rsidRDefault="0091491A" w:rsidP="00A42E7A">
      <w:pPr>
        <w:jc w:val="both"/>
      </w:pPr>
      <w:r>
        <w:t>And thus,</w:t>
      </w:r>
    </w:p>
    <w:p w:rsidR="0091491A" w:rsidRDefault="0091491A" w:rsidP="00A42E7A">
      <w:pPr>
        <w:jc w:val="both"/>
      </w:pPr>
    </w:p>
    <w:p w:rsidR="0091491A" w:rsidRPr="0091491A" w:rsidRDefault="0091491A" w:rsidP="00A42E7A">
      <w:pPr>
        <w:jc w:val="both"/>
      </w:pPr>
      <m:oMathPara>
        <m:oMath>
          <m:r>
            <w:rPr>
              <w:rFonts w:ascii="Cambria Math" w:hAnsi="Cambria Math"/>
            </w:rPr>
            <m:t>mg=G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m:t>
              </m:r>
            </m:num>
            <m:den>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den>
          </m:f>
        </m:oMath>
      </m:oMathPara>
    </w:p>
    <w:p w:rsidR="0091491A" w:rsidRPr="0091491A" w:rsidRDefault="0091491A" w:rsidP="00A42E7A">
      <w:pPr>
        <w:jc w:val="both"/>
      </w:pPr>
    </w:p>
    <w:p w:rsidR="0091491A" w:rsidRDefault="0091491A" w:rsidP="00A42E7A">
      <w:pPr>
        <w:jc w:val="both"/>
      </w:pPr>
    </w:p>
    <w:p w:rsidR="0091491A" w:rsidRPr="0091491A" w:rsidRDefault="0091491A" w:rsidP="00A42E7A">
      <w:pPr>
        <w:jc w:val="both"/>
      </w:pPr>
      <m:oMathPara>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2</m:t>
                  </m:r>
                </m:sup>
              </m:sSubSup>
            </m:num>
            <m:den>
              <m:r>
                <w:rPr>
                  <w:rFonts w:ascii="Cambria Math" w:hAnsi="Cambria Math"/>
                </w:rPr>
                <m:t>G</m:t>
              </m:r>
            </m:den>
          </m:f>
          <m:r>
            <w:rPr>
              <w:rFonts w:ascii="Cambria Math" w:hAnsi="Cambria Math"/>
            </w:rPr>
            <m:t>g</m:t>
          </m:r>
        </m:oMath>
      </m:oMathPara>
    </w:p>
    <w:p w:rsidR="0091491A" w:rsidRDefault="0091491A" w:rsidP="00A42E7A">
      <w:pPr>
        <w:jc w:val="both"/>
      </w:pPr>
      <w:r>
        <w:t>Putting in some numbers:</w:t>
      </w:r>
    </w:p>
    <w:p w:rsidR="0091491A" w:rsidRDefault="0091491A" w:rsidP="00A42E7A">
      <w:pPr>
        <w:jc w:val="both"/>
      </w:pPr>
    </w:p>
    <w:tbl>
      <w:tblPr>
        <w:tblStyle w:val="TableGrid"/>
        <w:tblW w:w="0" w:type="auto"/>
        <w:tblLook w:val="04A0" w:firstRow="1" w:lastRow="0" w:firstColumn="1" w:lastColumn="0" w:noHBand="0" w:noVBand="1"/>
      </w:tblPr>
      <w:tblGrid>
        <w:gridCol w:w="468"/>
        <w:gridCol w:w="2700"/>
      </w:tblGrid>
      <w:tr w:rsidR="0091491A" w:rsidTr="0091491A">
        <w:tc>
          <w:tcPr>
            <w:tcW w:w="468" w:type="dxa"/>
          </w:tcPr>
          <w:p w:rsidR="0091491A" w:rsidRDefault="0091491A" w:rsidP="00A42E7A">
            <w:pPr>
              <w:jc w:val="both"/>
            </w:pPr>
            <w:r>
              <w:t>g</w:t>
            </w:r>
          </w:p>
        </w:tc>
        <w:tc>
          <w:tcPr>
            <w:tcW w:w="2700" w:type="dxa"/>
          </w:tcPr>
          <w:p w:rsidR="0091491A" w:rsidRDefault="0091491A" w:rsidP="00A42E7A">
            <w:pPr>
              <w:jc w:val="both"/>
            </w:pPr>
            <w:r>
              <w:t>= 9.8 m/s</w:t>
            </w:r>
            <w:r w:rsidRPr="0091491A">
              <w:rPr>
                <w:vertAlign w:val="superscript"/>
              </w:rPr>
              <w:t>2</w:t>
            </w:r>
          </w:p>
        </w:tc>
      </w:tr>
      <w:tr w:rsidR="0091491A" w:rsidTr="0091491A">
        <w:tc>
          <w:tcPr>
            <w:tcW w:w="468" w:type="dxa"/>
          </w:tcPr>
          <w:p w:rsidR="0091491A" w:rsidRPr="0091491A" w:rsidRDefault="0091491A" w:rsidP="00A42E7A">
            <w:pPr>
              <w:jc w:val="both"/>
              <w:rPr>
                <w:i/>
              </w:rPr>
            </w:pPr>
            <w:r w:rsidRPr="0091491A">
              <w:rPr>
                <w:i/>
              </w:rPr>
              <w:t>R</w:t>
            </w:r>
            <w:r w:rsidRPr="0091491A">
              <w:rPr>
                <w:i/>
                <w:vertAlign w:val="subscript"/>
              </w:rPr>
              <w:t>E</w:t>
            </w:r>
          </w:p>
        </w:tc>
        <w:tc>
          <w:tcPr>
            <w:tcW w:w="2700" w:type="dxa"/>
          </w:tcPr>
          <w:p w:rsidR="0091491A" w:rsidRDefault="0091491A" w:rsidP="00A42E7A">
            <w:pPr>
              <w:jc w:val="both"/>
            </w:pPr>
            <w:r>
              <w:t>= 6371 km</w:t>
            </w:r>
          </w:p>
        </w:tc>
      </w:tr>
      <w:tr w:rsidR="0091491A" w:rsidTr="0091491A">
        <w:tc>
          <w:tcPr>
            <w:tcW w:w="468" w:type="dxa"/>
          </w:tcPr>
          <w:p w:rsidR="0091491A" w:rsidRDefault="0091491A" w:rsidP="00A42E7A">
            <w:pPr>
              <w:jc w:val="both"/>
            </w:pPr>
            <w:r>
              <w:t>G</w:t>
            </w:r>
          </w:p>
        </w:tc>
        <w:tc>
          <w:tcPr>
            <w:tcW w:w="2700" w:type="dxa"/>
          </w:tcPr>
          <w:p w:rsidR="0091491A" w:rsidRDefault="0091491A" w:rsidP="00A42E7A">
            <w:pPr>
              <w:jc w:val="both"/>
            </w:pPr>
            <w:r>
              <w:t>= 6.673×10</w:t>
            </w:r>
            <w:r w:rsidRPr="0091491A">
              <w:rPr>
                <w:vertAlign w:val="superscript"/>
              </w:rPr>
              <w:t>-11</w:t>
            </w:r>
            <w:r>
              <w:t xml:space="preserve"> m</w:t>
            </w:r>
            <w:r w:rsidRPr="0091491A">
              <w:rPr>
                <w:vertAlign w:val="superscript"/>
              </w:rPr>
              <w:t>3</w:t>
            </w:r>
            <w:r>
              <w:t xml:space="preserve"> kg</w:t>
            </w:r>
            <w:r w:rsidRPr="0091491A">
              <w:rPr>
                <w:vertAlign w:val="superscript"/>
              </w:rPr>
              <w:t>-1</w:t>
            </w:r>
            <w:r>
              <w:t xml:space="preserve"> s</w:t>
            </w:r>
            <w:r w:rsidRPr="0091491A">
              <w:rPr>
                <w:vertAlign w:val="superscript"/>
              </w:rPr>
              <w:t>2</w:t>
            </w:r>
          </w:p>
        </w:tc>
      </w:tr>
    </w:tbl>
    <w:p w:rsidR="0091491A" w:rsidRDefault="0091491A" w:rsidP="00A42E7A">
      <w:pPr>
        <w:jc w:val="both"/>
      </w:pPr>
    </w:p>
    <w:p w:rsidR="00A52B95" w:rsidRDefault="00A52B95" w:rsidP="00A42E7A">
      <w:pPr>
        <w:jc w:val="both"/>
      </w:pPr>
      <w:r>
        <w:t xml:space="preserve">We get </w:t>
      </w:r>
      <w:r w:rsidRPr="00A52B95">
        <w:rPr>
          <w:i/>
        </w:rPr>
        <w:t>m</w:t>
      </w:r>
      <w:r w:rsidRPr="00A52B95">
        <w:rPr>
          <w:i/>
          <w:vertAlign w:val="subscript"/>
        </w:rPr>
        <w:t>E</w:t>
      </w:r>
      <w:r w:rsidRPr="00A52B95">
        <w:rPr>
          <w:vertAlign w:val="subscript"/>
        </w:rPr>
        <w:t xml:space="preserve"> </w:t>
      </w:r>
      <w:r>
        <w:t>= 5.961×10</w:t>
      </w:r>
      <w:r w:rsidRPr="00A52B95">
        <w:rPr>
          <w:vertAlign w:val="superscript"/>
        </w:rPr>
        <w:t>24</w:t>
      </w:r>
      <w:r>
        <w:t xml:space="preserve"> kg</w:t>
      </w:r>
    </w:p>
    <w:p w:rsidR="00A52B95" w:rsidRDefault="00A52B95" w:rsidP="00A42E7A">
      <w:pPr>
        <w:jc w:val="both"/>
      </w:pPr>
    </w:p>
    <w:p w:rsidR="00A52B95" w:rsidRDefault="00A52B95" w:rsidP="00A42E7A">
      <w:pPr>
        <w:jc w:val="both"/>
      </w:pPr>
      <w:r>
        <w:t>A current measurement gives us 5.9723×10</w:t>
      </w:r>
      <w:r w:rsidRPr="00A52B95">
        <w:rPr>
          <w:vertAlign w:val="superscript"/>
        </w:rPr>
        <w:t>24</w:t>
      </w:r>
      <w:r>
        <w:t xml:space="preserve"> kg, so our first back of the envelope calculation doesn’t do too badly.</w:t>
      </w:r>
    </w:p>
    <w:p w:rsidR="00F8430B" w:rsidRDefault="00F8430B" w:rsidP="00A42E7A">
      <w:pPr>
        <w:jc w:val="both"/>
      </w:pPr>
    </w:p>
    <w:p w:rsidR="00F8430B" w:rsidRDefault="00F8430B" w:rsidP="00A42E7A">
      <w:pPr>
        <w:jc w:val="both"/>
      </w:pPr>
      <w:r>
        <w:t>Another way to solve this problem is to look at orbital data.  From Kepler’s law of periods:</w:t>
      </w:r>
    </w:p>
    <w:p w:rsidR="00F8430B" w:rsidRDefault="00F8430B" w:rsidP="00A42E7A">
      <w:pPr>
        <w:jc w:val="both"/>
      </w:pPr>
    </w:p>
    <w:p w:rsidR="00F8430B" w:rsidRPr="00A523C7" w:rsidRDefault="006B7585" w:rsidP="00A42E7A">
      <w:pPr>
        <w:jc w:val="both"/>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e>
          </m:d>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rsidR="00A523C7" w:rsidRPr="002B1407" w:rsidRDefault="00A523C7" w:rsidP="00A42E7A">
      <w:pPr>
        <w:jc w:val="both"/>
      </w:pPr>
    </w:p>
    <w:p w:rsidR="002B1407" w:rsidRDefault="002B1407" w:rsidP="00A42E7A">
      <w:pPr>
        <w:jc w:val="both"/>
      </w:pPr>
      <w:r>
        <w:t>Where, in this case the mass (</w:t>
      </w:r>
      <w:r w:rsidRPr="00FC59D8">
        <w:rPr>
          <w:i/>
        </w:rPr>
        <w:t>m</w:t>
      </w:r>
      <w:r>
        <w:t>) is given for the central body (e.g., the earth) and the orbital period (</w:t>
      </w:r>
      <w:r w:rsidRPr="00FC59D8">
        <w:rPr>
          <w:i/>
        </w:rPr>
        <w:t>T</w:t>
      </w:r>
      <w:r>
        <w:t xml:space="preserve">) is for a satellite orbiting the central body at the radius </w:t>
      </w:r>
      <w:r w:rsidRPr="00FC59D8">
        <w:rPr>
          <w:i/>
        </w:rPr>
        <w:t>r</w:t>
      </w:r>
      <w:r>
        <w:t>.  Thus, we can measure the orbital period of a satellite (artificial or a moon) without even knowing the mass of the satellite, and determine the mass of the central planet.</w:t>
      </w:r>
    </w:p>
    <w:p w:rsidR="002B1407" w:rsidRDefault="002B1407" w:rsidP="00A42E7A">
      <w:pPr>
        <w:jc w:val="both"/>
      </w:pPr>
    </w:p>
    <w:p w:rsidR="002B1407" w:rsidRDefault="002B1407" w:rsidP="00A42E7A">
      <w:pPr>
        <w:jc w:val="both"/>
      </w:pPr>
      <w:r>
        <w:t xml:space="preserve">We didn’t really even have a good measurement of the mass of the planets </w:t>
      </w:r>
      <w:r w:rsidR="007F60C4">
        <w:t>M</w:t>
      </w:r>
      <w:r>
        <w:t xml:space="preserve">ercury or </w:t>
      </w:r>
      <w:r w:rsidR="007F60C4">
        <w:t>V</w:t>
      </w:r>
      <w:r>
        <w:t>enus (each of which have no moons) until we actually put spacecraft in orbit around them.</w:t>
      </w:r>
    </w:p>
    <w:p w:rsidR="002B1407" w:rsidRDefault="002B1407" w:rsidP="00A42E7A">
      <w:pPr>
        <w:jc w:val="both"/>
      </w:pPr>
    </w:p>
    <w:p w:rsidR="002B1407" w:rsidRPr="0091491A" w:rsidRDefault="002B1407" w:rsidP="00A42E7A">
      <w:pPr>
        <w:jc w:val="both"/>
      </w:pPr>
      <w:r>
        <w:t xml:space="preserve">Of course, these techniques as presented here are a bit </w:t>
      </w:r>
      <w:r w:rsidR="00DE324B">
        <w:t>over simplistic</w:t>
      </w:r>
      <w:r>
        <w:t xml:space="preserve">, but give us a reasonable estimate of the Earth’s mass.  In order to get </w:t>
      </w:r>
      <w:r w:rsidR="00DE324B">
        <w:t>more sophisticated formulas</w:t>
      </w:r>
      <w:r>
        <w:t xml:space="preserve"> we will have to treat gravity appropriately and consider non-spherical bodies.</w:t>
      </w:r>
    </w:p>
    <w:p w:rsidR="0091491A" w:rsidRPr="0091491A" w:rsidRDefault="0091491A" w:rsidP="00A42E7A">
      <w:pPr>
        <w:jc w:val="both"/>
      </w:pPr>
    </w:p>
    <w:sectPr w:rsidR="0091491A" w:rsidRPr="0091491A" w:rsidSect="00465FC2">
      <w:head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585" w:rsidRDefault="006B7585">
      <w:r>
        <w:separator/>
      </w:r>
    </w:p>
  </w:endnote>
  <w:endnote w:type="continuationSeparator" w:id="0">
    <w:p w:rsidR="006B7585" w:rsidRDefault="006B7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585" w:rsidRDefault="006B7585">
      <w:r>
        <w:separator/>
      </w:r>
    </w:p>
  </w:footnote>
  <w:footnote w:type="continuationSeparator" w:id="0">
    <w:p w:rsidR="006B7585" w:rsidRDefault="006B75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FDB" w:rsidRDefault="007D2FDB">
    <w:pPr>
      <w:pStyle w:val="Header"/>
      <w:framePr w:w="841" w:wrap="around" w:vAnchor="text" w:hAnchor="page" w:x="9541" w:y="1"/>
      <w:rPr>
        <w:rStyle w:val="PageNumber"/>
        <w:sz w:val="20"/>
      </w:rPr>
    </w:pPr>
    <w:r>
      <w:rPr>
        <w:rStyle w:val="PageNumber"/>
        <w:sz w:val="20"/>
      </w:rPr>
      <w:t xml:space="preserve"> L0</w:t>
    </w:r>
    <w:r w:rsidR="00417F3D">
      <w:rPr>
        <w:rStyle w:val="PageNumber"/>
        <w:sz w:val="20"/>
      </w:rPr>
      <w:t>1</w:t>
    </w:r>
    <w:r>
      <w:rPr>
        <w:rStyle w:val="PageNumber"/>
        <w:sz w:val="20"/>
      </w:rPr>
      <w:t>-</w:t>
    </w:r>
    <w:r>
      <w:rPr>
        <w:rStyle w:val="PageNumber"/>
        <w:sz w:val="20"/>
      </w:rPr>
      <w:fldChar w:fldCharType="begin"/>
    </w:r>
    <w:r>
      <w:rPr>
        <w:rStyle w:val="PageNumber"/>
        <w:sz w:val="20"/>
      </w:rPr>
      <w:instrText xml:space="preserve">PAGE  </w:instrText>
    </w:r>
    <w:r>
      <w:rPr>
        <w:rStyle w:val="PageNumber"/>
        <w:sz w:val="20"/>
      </w:rPr>
      <w:fldChar w:fldCharType="separate"/>
    </w:r>
    <w:r w:rsidR="00417F3D">
      <w:rPr>
        <w:rStyle w:val="PageNumber"/>
        <w:noProof/>
        <w:sz w:val="20"/>
      </w:rPr>
      <w:t>1</w:t>
    </w:r>
    <w:r>
      <w:rPr>
        <w:rStyle w:val="PageNumber"/>
        <w:sz w:val="20"/>
      </w:rPr>
      <w:fldChar w:fldCharType="end"/>
    </w:r>
  </w:p>
  <w:p w:rsidR="007D2FDB" w:rsidRDefault="00417F3D">
    <w:pPr>
      <w:pStyle w:val="Header"/>
    </w:pPr>
    <w:r>
      <w:rPr>
        <w:i/>
        <w:iCs/>
        <w:sz w:val="20"/>
      </w:rPr>
      <w:t>GEO3010 – Dynamic Earth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48C"/>
    <w:multiLevelType w:val="hybridMultilevel"/>
    <w:tmpl w:val="ED8CC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876B29"/>
    <w:multiLevelType w:val="hybridMultilevel"/>
    <w:tmpl w:val="BBAC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D0579"/>
    <w:multiLevelType w:val="hybridMultilevel"/>
    <w:tmpl w:val="A56E1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357C85"/>
    <w:multiLevelType w:val="hybridMultilevel"/>
    <w:tmpl w:val="274863F2"/>
    <w:lvl w:ilvl="0" w:tplc="4EEC4C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1A7984"/>
    <w:multiLevelType w:val="hybridMultilevel"/>
    <w:tmpl w:val="FA065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8243A8"/>
    <w:multiLevelType w:val="hybridMultilevel"/>
    <w:tmpl w:val="AAAC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61DAA"/>
    <w:multiLevelType w:val="hybridMultilevel"/>
    <w:tmpl w:val="8B2A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67258"/>
    <w:multiLevelType w:val="hybridMultilevel"/>
    <w:tmpl w:val="DB0E43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5982259"/>
    <w:multiLevelType w:val="hybridMultilevel"/>
    <w:tmpl w:val="056AE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46600"/>
    <w:multiLevelType w:val="hybridMultilevel"/>
    <w:tmpl w:val="C6CA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010C20"/>
    <w:multiLevelType w:val="hybridMultilevel"/>
    <w:tmpl w:val="C35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A45F6"/>
    <w:multiLevelType w:val="hybridMultilevel"/>
    <w:tmpl w:val="4D66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F771E"/>
    <w:multiLevelType w:val="hybridMultilevel"/>
    <w:tmpl w:val="143E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16568C"/>
    <w:multiLevelType w:val="hybridMultilevel"/>
    <w:tmpl w:val="0A688364"/>
    <w:lvl w:ilvl="0" w:tplc="A0F8E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9"/>
  </w:num>
  <w:num w:numId="5">
    <w:abstractNumId w:val="12"/>
  </w:num>
  <w:num w:numId="6">
    <w:abstractNumId w:val="1"/>
  </w:num>
  <w:num w:numId="7">
    <w:abstractNumId w:val="6"/>
  </w:num>
  <w:num w:numId="8">
    <w:abstractNumId w:val="8"/>
  </w:num>
  <w:num w:numId="9">
    <w:abstractNumId w:val="5"/>
  </w:num>
  <w:num w:numId="10">
    <w:abstractNumId w:val="10"/>
  </w:num>
  <w:num w:numId="11">
    <w:abstractNumId w:val="11"/>
  </w:num>
  <w:num w:numId="12">
    <w:abstractNumId w:val="3"/>
  </w:num>
  <w:num w:numId="13">
    <w:abstractNumId w:val="13"/>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arth Planet Sci Letters - Mike Edit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reex5rr7pd0f9ed2vk52zwutsavwxdp0fp9&quot;&gt;Thornes_Library&lt;record-ids&gt;&lt;item&gt;317&lt;/item&gt;&lt;/record-ids&gt;&lt;/item&gt;&lt;/Libraries&gt;"/>
  </w:docVars>
  <w:rsids>
    <w:rsidRoot w:val="00B13D44"/>
    <w:rsid w:val="0000334F"/>
    <w:rsid w:val="0000655F"/>
    <w:rsid w:val="00010214"/>
    <w:rsid w:val="0001073B"/>
    <w:rsid w:val="00016813"/>
    <w:rsid w:val="00021233"/>
    <w:rsid w:val="000305B1"/>
    <w:rsid w:val="00035677"/>
    <w:rsid w:val="0004000D"/>
    <w:rsid w:val="00041DF4"/>
    <w:rsid w:val="00043222"/>
    <w:rsid w:val="0004427B"/>
    <w:rsid w:val="00053EE8"/>
    <w:rsid w:val="00055AD7"/>
    <w:rsid w:val="00066E99"/>
    <w:rsid w:val="0007429F"/>
    <w:rsid w:val="00074F96"/>
    <w:rsid w:val="0008707C"/>
    <w:rsid w:val="00090C36"/>
    <w:rsid w:val="00097E84"/>
    <w:rsid w:val="000A2DE2"/>
    <w:rsid w:val="000A62F2"/>
    <w:rsid w:val="000A6C79"/>
    <w:rsid w:val="000B1859"/>
    <w:rsid w:val="000B27C5"/>
    <w:rsid w:val="000B4506"/>
    <w:rsid w:val="000B5301"/>
    <w:rsid w:val="000B5F7A"/>
    <w:rsid w:val="000B7F76"/>
    <w:rsid w:val="000C0E1C"/>
    <w:rsid w:val="000C263B"/>
    <w:rsid w:val="000C4836"/>
    <w:rsid w:val="000C58D3"/>
    <w:rsid w:val="000C6ACA"/>
    <w:rsid w:val="000D139C"/>
    <w:rsid w:val="000D32CB"/>
    <w:rsid w:val="000D43B3"/>
    <w:rsid w:val="000D4657"/>
    <w:rsid w:val="000E2BA2"/>
    <w:rsid w:val="000E4EC5"/>
    <w:rsid w:val="000E5FDA"/>
    <w:rsid w:val="000E67F0"/>
    <w:rsid w:val="000F05A2"/>
    <w:rsid w:val="0010266E"/>
    <w:rsid w:val="001058E8"/>
    <w:rsid w:val="001070B4"/>
    <w:rsid w:val="001113E4"/>
    <w:rsid w:val="001139C1"/>
    <w:rsid w:val="0011486C"/>
    <w:rsid w:val="00123646"/>
    <w:rsid w:val="00124280"/>
    <w:rsid w:val="00125297"/>
    <w:rsid w:val="001255E8"/>
    <w:rsid w:val="00135BE6"/>
    <w:rsid w:val="00142ACC"/>
    <w:rsid w:val="0014495E"/>
    <w:rsid w:val="001523AF"/>
    <w:rsid w:val="00156AC5"/>
    <w:rsid w:val="00172C25"/>
    <w:rsid w:val="001756DF"/>
    <w:rsid w:val="00175C9E"/>
    <w:rsid w:val="00181D50"/>
    <w:rsid w:val="001822B0"/>
    <w:rsid w:val="00183A56"/>
    <w:rsid w:val="00185F96"/>
    <w:rsid w:val="001866EC"/>
    <w:rsid w:val="00190485"/>
    <w:rsid w:val="001A0B4E"/>
    <w:rsid w:val="001A1882"/>
    <w:rsid w:val="001A2DA6"/>
    <w:rsid w:val="001A53AC"/>
    <w:rsid w:val="001B3AE5"/>
    <w:rsid w:val="001D2643"/>
    <w:rsid w:val="001D2FCD"/>
    <w:rsid w:val="001D3699"/>
    <w:rsid w:val="001D3A1B"/>
    <w:rsid w:val="001D43C6"/>
    <w:rsid w:val="001E4296"/>
    <w:rsid w:val="001E4E2A"/>
    <w:rsid w:val="001F11A4"/>
    <w:rsid w:val="001F1812"/>
    <w:rsid w:val="001F4A04"/>
    <w:rsid w:val="002065FE"/>
    <w:rsid w:val="00212926"/>
    <w:rsid w:val="002203CA"/>
    <w:rsid w:val="00221707"/>
    <w:rsid w:val="002224EE"/>
    <w:rsid w:val="00226230"/>
    <w:rsid w:val="00226E21"/>
    <w:rsid w:val="00244BCF"/>
    <w:rsid w:val="00253B65"/>
    <w:rsid w:val="00256E19"/>
    <w:rsid w:val="00257890"/>
    <w:rsid w:val="00263F3E"/>
    <w:rsid w:val="00264BFE"/>
    <w:rsid w:val="00266EE1"/>
    <w:rsid w:val="00274152"/>
    <w:rsid w:val="00275CFC"/>
    <w:rsid w:val="00280DF0"/>
    <w:rsid w:val="00281775"/>
    <w:rsid w:val="00282D1C"/>
    <w:rsid w:val="00282F96"/>
    <w:rsid w:val="00290E99"/>
    <w:rsid w:val="00293D41"/>
    <w:rsid w:val="00293F9C"/>
    <w:rsid w:val="00295451"/>
    <w:rsid w:val="002A2574"/>
    <w:rsid w:val="002A3240"/>
    <w:rsid w:val="002A4AFC"/>
    <w:rsid w:val="002A7BA5"/>
    <w:rsid w:val="002B07AC"/>
    <w:rsid w:val="002B1407"/>
    <w:rsid w:val="002B38F4"/>
    <w:rsid w:val="002B3A97"/>
    <w:rsid w:val="002C0839"/>
    <w:rsid w:val="002C2F31"/>
    <w:rsid w:val="002C658F"/>
    <w:rsid w:val="002D0157"/>
    <w:rsid w:val="002D6AF2"/>
    <w:rsid w:val="002D6F0F"/>
    <w:rsid w:val="002E5928"/>
    <w:rsid w:val="002F5281"/>
    <w:rsid w:val="002F67D9"/>
    <w:rsid w:val="003047A1"/>
    <w:rsid w:val="00305652"/>
    <w:rsid w:val="00306BA5"/>
    <w:rsid w:val="00307BA3"/>
    <w:rsid w:val="00314D82"/>
    <w:rsid w:val="0031686D"/>
    <w:rsid w:val="003214B6"/>
    <w:rsid w:val="00340188"/>
    <w:rsid w:val="00342E7F"/>
    <w:rsid w:val="003511D0"/>
    <w:rsid w:val="003515FE"/>
    <w:rsid w:val="003517E4"/>
    <w:rsid w:val="00351A01"/>
    <w:rsid w:val="00353B4D"/>
    <w:rsid w:val="0035567C"/>
    <w:rsid w:val="0035606A"/>
    <w:rsid w:val="00356294"/>
    <w:rsid w:val="00356A38"/>
    <w:rsid w:val="00370DE0"/>
    <w:rsid w:val="0037626B"/>
    <w:rsid w:val="00377AE8"/>
    <w:rsid w:val="003932C8"/>
    <w:rsid w:val="00394FE0"/>
    <w:rsid w:val="003B19F2"/>
    <w:rsid w:val="003B20A3"/>
    <w:rsid w:val="003B61F4"/>
    <w:rsid w:val="003B7936"/>
    <w:rsid w:val="003C052D"/>
    <w:rsid w:val="003C24B4"/>
    <w:rsid w:val="003C4088"/>
    <w:rsid w:val="003C698D"/>
    <w:rsid w:val="003D0CF4"/>
    <w:rsid w:val="003E4E29"/>
    <w:rsid w:val="003E549F"/>
    <w:rsid w:val="003E6B20"/>
    <w:rsid w:val="003E7848"/>
    <w:rsid w:val="003F410C"/>
    <w:rsid w:val="004025C5"/>
    <w:rsid w:val="00406398"/>
    <w:rsid w:val="00410BA4"/>
    <w:rsid w:val="00412079"/>
    <w:rsid w:val="0041383B"/>
    <w:rsid w:val="00414D14"/>
    <w:rsid w:val="004167CA"/>
    <w:rsid w:val="00417F3D"/>
    <w:rsid w:val="00422066"/>
    <w:rsid w:val="00425789"/>
    <w:rsid w:val="004374CB"/>
    <w:rsid w:val="00443E5E"/>
    <w:rsid w:val="00447F52"/>
    <w:rsid w:val="00455118"/>
    <w:rsid w:val="00461B64"/>
    <w:rsid w:val="00464182"/>
    <w:rsid w:val="00465FC2"/>
    <w:rsid w:val="00474B6D"/>
    <w:rsid w:val="00482ED7"/>
    <w:rsid w:val="00486021"/>
    <w:rsid w:val="00486CC0"/>
    <w:rsid w:val="00490684"/>
    <w:rsid w:val="0049138F"/>
    <w:rsid w:val="00493965"/>
    <w:rsid w:val="00497A3D"/>
    <w:rsid w:val="004B6453"/>
    <w:rsid w:val="004C0DD5"/>
    <w:rsid w:val="004C1A78"/>
    <w:rsid w:val="004C458D"/>
    <w:rsid w:val="004D1CC7"/>
    <w:rsid w:val="004E3996"/>
    <w:rsid w:val="004E43A8"/>
    <w:rsid w:val="004E652D"/>
    <w:rsid w:val="004F0DD8"/>
    <w:rsid w:val="004F1618"/>
    <w:rsid w:val="004F2E86"/>
    <w:rsid w:val="004F4899"/>
    <w:rsid w:val="004F4A38"/>
    <w:rsid w:val="004F6EE3"/>
    <w:rsid w:val="005050F6"/>
    <w:rsid w:val="0050525B"/>
    <w:rsid w:val="00505745"/>
    <w:rsid w:val="00505941"/>
    <w:rsid w:val="00505BF0"/>
    <w:rsid w:val="00506AE8"/>
    <w:rsid w:val="0050729A"/>
    <w:rsid w:val="0051090F"/>
    <w:rsid w:val="00512158"/>
    <w:rsid w:val="00524088"/>
    <w:rsid w:val="005312A3"/>
    <w:rsid w:val="00535379"/>
    <w:rsid w:val="005425A4"/>
    <w:rsid w:val="00550D3A"/>
    <w:rsid w:val="005565F4"/>
    <w:rsid w:val="00560347"/>
    <w:rsid w:val="0056106B"/>
    <w:rsid w:val="0056367B"/>
    <w:rsid w:val="00566134"/>
    <w:rsid w:val="005710E8"/>
    <w:rsid w:val="005735B7"/>
    <w:rsid w:val="005735E0"/>
    <w:rsid w:val="00576781"/>
    <w:rsid w:val="00577B23"/>
    <w:rsid w:val="0058043D"/>
    <w:rsid w:val="00582B42"/>
    <w:rsid w:val="00583DD3"/>
    <w:rsid w:val="00592BB1"/>
    <w:rsid w:val="0059363D"/>
    <w:rsid w:val="005A14EB"/>
    <w:rsid w:val="005A156E"/>
    <w:rsid w:val="005A2329"/>
    <w:rsid w:val="005B7D03"/>
    <w:rsid w:val="005C1878"/>
    <w:rsid w:val="005C4B15"/>
    <w:rsid w:val="005C568E"/>
    <w:rsid w:val="005D04F0"/>
    <w:rsid w:val="005D3747"/>
    <w:rsid w:val="005D458D"/>
    <w:rsid w:val="005D4B99"/>
    <w:rsid w:val="005D6C4B"/>
    <w:rsid w:val="005E6999"/>
    <w:rsid w:val="005F6895"/>
    <w:rsid w:val="005F75A2"/>
    <w:rsid w:val="00606F7A"/>
    <w:rsid w:val="006215FC"/>
    <w:rsid w:val="00627616"/>
    <w:rsid w:val="00633F32"/>
    <w:rsid w:val="006559CA"/>
    <w:rsid w:val="00655A0D"/>
    <w:rsid w:val="00663059"/>
    <w:rsid w:val="0066779F"/>
    <w:rsid w:val="00670A26"/>
    <w:rsid w:val="00681E85"/>
    <w:rsid w:val="006838C0"/>
    <w:rsid w:val="00686A8C"/>
    <w:rsid w:val="00687C7E"/>
    <w:rsid w:val="00693220"/>
    <w:rsid w:val="006944EF"/>
    <w:rsid w:val="006949A1"/>
    <w:rsid w:val="00695579"/>
    <w:rsid w:val="00695E7F"/>
    <w:rsid w:val="00697D24"/>
    <w:rsid w:val="006A0F78"/>
    <w:rsid w:val="006A6C27"/>
    <w:rsid w:val="006B0473"/>
    <w:rsid w:val="006B15A3"/>
    <w:rsid w:val="006B35CA"/>
    <w:rsid w:val="006B5439"/>
    <w:rsid w:val="006B552A"/>
    <w:rsid w:val="006B7585"/>
    <w:rsid w:val="006C0DEA"/>
    <w:rsid w:val="006C1B35"/>
    <w:rsid w:val="006C5861"/>
    <w:rsid w:val="006C5A4A"/>
    <w:rsid w:val="006C5A5C"/>
    <w:rsid w:val="006C5B93"/>
    <w:rsid w:val="006D675E"/>
    <w:rsid w:val="006F542C"/>
    <w:rsid w:val="007032E7"/>
    <w:rsid w:val="007178DB"/>
    <w:rsid w:val="007318F3"/>
    <w:rsid w:val="007366DD"/>
    <w:rsid w:val="00742255"/>
    <w:rsid w:val="00743873"/>
    <w:rsid w:val="0074590C"/>
    <w:rsid w:val="00747828"/>
    <w:rsid w:val="00755084"/>
    <w:rsid w:val="007566C2"/>
    <w:rsid w:val="00756E38"/>
    <w:rsid w:val="007572EE"/>
    <w:rsid w:val="00762EE8"/>
    <w:rsid w:val="007660C5"/>
    <w:rsid w:val="00770781"/>
    <w:rsid w:val="007716BE"/>
    <w:rsid w:val="007851AE"/>
    <w:rsid w:val="0079431A"/>
    <w:rsid w:val="007A285C"/>
    <w:rsid w:val="007B1DE2"/>
    <w:rsid w:val="007B207B"/>
    <w:rsid w:val="007B209E"/>
    <w:rsid w:val="007B2D11"/>
    <w:rsid w:val="007C491F"/>
    <w:rsid w:val="007C6C57"/>
    <w:rsid w:val="007D0FF8"/>
    <w:rsid w:val="007D1759"/>
    <w:rsid w:val="007D2FDB"/>
    <w:rsid w:val="007E1828"/>
    <w:rsid w:val="007E6CB0"/>
    <w:rsid w:val="007F42D0"/>
    <w:rsid w:val="007F5F13"/>
    <w:rsid w:val="007F60C4"/>
    <w:rsid w:val="007F6B0B"/>
    <w:rsid w:val="00800CE3"/>
    <w:rsid w:val="00803BA3"/>
    <w:rsid w:val="00811892"/>
    <w:rsid w:val="0081196F"/>
    <w:rsid w:val="00814F66"/>
    <w:rsid w:val="00817DE5"/>
    <w:rsid w:val="00820963"/>
    <w:rsid w:val="00820E80"/>
    <w:rsid w:val="008244E1"/>
    <w:rsid w:val="00827CBF"/>
    <w:rsid w:val="00832460"/>
    <w:rsid w:val="0083501D"/>
    <w:rsid w:val="00835DDD"/>
    <w:rsid w:val="0083652E"/>
    <w:rsid w:val="00844984"/>
    <w:rsid w:val="008478F9"/>
    <w:rsid w:val="008547C3"/>
    <w:rsid w:val="00855DDC"/>
    <w:rsid w:val="00856020"/>
    <w:rsid w:val="008574A7"/>
    <w:rsid w:val="00863D12"/>
    <w:rsid w:val="0086499A"/>
    <w:rsid w:val="00870317"/>
    <w:rsid w:val="0087374C"/>
    <w:rsid w:val="00882E61"/>
    <w:rsid w:val="008843E6"/>
    <w:rsid w:val="00886942"/>
    <w:rsid w:val="0089296A"/>
    <w:rsid w:val="008939D0"/>
    <w:rsid w:val="008A0577"/>
    <w:rsid w:val="008A358C"/>
    <w:rsid w:val="008A4330"/>
    <w:rsid w:val="008A70D3"/>
    <w:rsid w:val="008B0BF2"/>
    <w:rsid w:val="008B6E46"/>
    <w:rsid w:val="008C4A54"/>
    <w:rsid w:val="008C6839"/>
    <w:rsid w:val="008C6E68"/>
    <w:rsid w:val="008D4183"/>
    <w:rsid w:val="008D7C76"/>
    <w:rsid w:val="008F0027"/>
    <w:rsid w:val="008F0CAE"/>
    <w:rsid w:val="008F2653"/>
    <w:rsid w:val="008F40AF"/>
    <w:rsid w:val="008F4B4E"/>
    <w:rsid w:val="008F55EB"/>
    <w:rsid w:val="00900670"/>
    <w:rsid w:val="00900C78"/>
    <w:rsid w:val="00901A8D"/>
    <w:rsid w:val="00906D27"/>
    <w:rsid w:val="00911B9B"/>
    <w:rsid w:val="0091491A"/>
    <w:rsid w:val="00914BDD"/>
    <w:rsid w:val="0091701C"/>
    <w:rsid w:val="00921EC5"/>
    <w:rsid w:val="009227B2"/>
    <w:rsid w:val="00924E51"/>
    <w:rsid w:val="0093252C"/>
    <w:rsid w:val="00935AEF"/>
    <w:rsid w:val="00936D73"/>
    <w:rsid w:val="00947658"/>
    <w:rsid w:val="0095355E"/>
    <w:rsid w:val="00955A52"/>
    <w:rsid w:val="00963047"/>
    <w:rsid w:val="0096429E"/>
    <w:rsid w:val="00965BC9"/>
    <w:rsid w:val="009668A7"/>
    <w:rsid w:val="00973AD2"/>
    <w:rsid w:val="00975B5D"/>
    <w:rsid w:val="009817FC"/>
    <w:rsid w:val="00987647"/>
    <w:rsid w:val="00990792"/>
    <w:rsid w:val="00990DCF"/>
    <w:rsid w:val="00994123"/>
    <w:rsid w:val="0099423C"/>
    <w:rsid w:val="009A0603"/>
    <w:rsid w:val="009A0787"/>
    <w:rsid w:val="009A4050"/>
    <w:rsid w:val="009B0661"/>
    <w:rsid w:val="009B6D72"/>
    <w:rsid w:val="009B7E19"/>
    <w:rsid w:val="009C19E0"/>
    <w:rsid w:val="009C1F37"/>
    <w:rsid w:val="009C3BFB"/>
    <w:rsid w:val="009C62CC"/>
    <w:rsid w:val="009D22E3"/>
    <w:rsid w:val="009D3ED4"/>
    <w:rsid w:val="009D6DAC"/>
    <w:rsid w:val="009D7A67"/>
    <w:rsid w:val="009E101E"/>
    <w:rsid w:val="009E6D8C"/>
    <w:rsid w:val="009F0D16"/>
    <w:rsid w:val="00A04761"/>
    <w:rsid w:val="00A06B12"/>
    <w:rsid w:val="00A178A3"/>
    <w:rsid w:val="00A22CDC"/>
    <w:rsid w:val="00A26B74"/>
    <w:rsid w:val="00A2728B"/>
    <w:rsid w:val="00A30F96"/>
    <w:rsid w:val="00A35AE8"/>
    <w:rsid w:val="00A36BBA"/>
    <w:rsid w:val="00A37DB3"/>
    <w:rsid w:val="00A37F21"/>
    <w:rsid w:val="00A40BE1"/>
    <w:rsid w:val="00A40D84"/>
    <w:rsid w:val="00A42A90"/>
    <w:rsid w:val="00A42E7A"/>
    <w:rsid w:val="00A43B57"/>
    <w:rsid w:val="00A523C7"/>
    <w:rsid w:val="00A52B95"/>
    <w:rsid w:val="00A55109"/>
    <w:rsid w:val="00A5682D"/>
    <w:rsid w:val="00A60755"/>
    <w:rsid w:val="00A60C7A"/>
    <w:rsid w:val="00A6372C"/>
    <w:rsid w:val="00A71497"/>
    <w:rsid w:val="00A748BF"/>
    <w:rsid w:val="00A807F3"/>
    <w:rsid w:val="00AA4266"/>
    <w:rsid w:val="00AA6228"/>
    <w:rsid w:val="00AB0A1E"/>
    <w:rsid w:val="00AB4193"/>
    <w:rsid w:val="00AB6DF0"/>
    <w:rsid w:val="00AC19B2"/>
    <w:rsid w:val="00AC3BE6"/>
    <w:rsid w:val="00AC5AF9"/>
    <w:rsid w:val="00AD01CE"/>
    <w:rsid w:val="00AE05EF"/>
    <w:rsid w:val="00AE2241"/>
    <w:rsid w:val="00AE4239"/>
    <w:rsid w:val="00AF035B"/>
    <w:rsid w:val="00AF2398"/>
    <w:rsid w:val="00B06049"/>
    <w:rsid w:val="00B13D44"/>
    <w:rsid w:val="00B2155C"/>
    <w:rsid w:val="00B24E26"/>
    <w:rsid w:val="00B2580F"/>
    <w:rsid w:val="00B27807"/>
    <w:rsid w:val="00B3313E"/>
    <w:rsid w:val="00B33E89"/>
    <w:rsid w:val="00B34B57"/>
    <w:rsid w:val="00B5200D"/>
    <w:rsid w:val="00B6120A"/>
    <w:rsid w:val="00B62080"/>
    <w:rsid w:val="00B671A0"/>
    <w:rsid w:val="00B67C49"/>
    <w:rsid w:val="00B756EA"/>
    <w:rsid w:val="00B766E6"/>
    <w:rsid w:val="00B772EB"/>
    <w:rsid w:val="00B819FA"/>
    <w:rsid w:val="00B8232B"/>
    <w:rsid w:val="00B8301A"/>
    <w:rsid w:val="00B91788"/>
    <w:rsid w:val="00B9284E"/>
    <w:rsid w:val="00B95611"/>
    <w:rsid w:val="00BB1C30"/>
    <w:rsid w:val="00BC0A9F"/>
    <w:rsid w:val="00BC1EAE"/>
    <w:rsid w:val="00BD2522"/>
    <w:rsid w:val="00BD3994"/>
    <w:rsid w:val="00BD7241"/>
    <w:rsid w:val="00BE41DD"/>
    <w:rsid w:val="00BF4AF1"/>
    <w:rsid w:val="00BF552E"/>
    <w:rsid w:val="00BF5EEA"/>
    <w:rsid w:val="00BF72B1"/>
    <w:rsid w:val="00C01D47"/>
    <w:rsid w:val="00C02850"/>
    <w:rsid w:val="00C058F3"/>
    <w:rsid w:val="00C1342B"/>
    <w:rsid w:val="00C212BA"/>
    <w:rsid w:val="00C253F9"/>
    <w:rsid w:val="00C272EA"/>
    <w:rsid w:val="00C3413B"/>
    <w:rsid w:val="00C4299E"/>
    <w:rsid w:val="00C57566"/>
    <w:rsid w:val="00C601FF"/>
    <w:rsid w:val="00C63B3C"/>
    <w:rsid w:val="00C72612"/>
    <w:rsid w:val="00C75A8B"/>
    <w:rsid w:val="00C7675F"/>
    <w:rsid w:val="00C804D0"/>
    <w:rsid w:val="00C8477B"/>
    <w:rsid w:val="00C858EE"/>
    <w:rsid w:val="00C87F44"/>
    <w:rsid w:val="00C92964"/>
    <w:rsid w:val="00C93287"/>
    <w:rsid w:val="00C96615"/>
    <w:rsid w:val="00CA2D49"/>
    <w:rsid w:val="00CA7C76"/>
    <w:rsid w:val="00CA7E15"/>
    <w:rsid w:val="00CB10C0"/>
    <w:rsid w:val="00CB1AD3"/>
    <w:rsid w:val="00CB2890"/>
    <w:rsid w:val="00CC0788"/>
    <w:rsid w:val="00CC19F2"/>
    <w:rsid w:val="00CC4505"/>
    <w:rsid w:val="00CC4A3A"/>
    <w:rsid w:val="00CD093E"/>
    <w:rsid w:val="00CE5422"/>
    <w:rsid w:val="00CE6F23"/>
    <w:rsid w:val="00CF2355"/>
    <w:rsid w:val="00D10938"/>
    <w:rsid w:val="00D10F8A"/>
    <w:rsid w:val="00D13118"/>
    <w:rsid w:val="00D13EFA"/>
    <w:rsid w:val="00D14ADD"/>
    <w:rsid w:val="00D1650C"/>
    <w:rsid w:val="00D16AFC"/>
    <w:rsid w:val="00D17405"/>
    <w:rsid w:val="00D20C95"/>
    <w:rsid w:val="00D2165C"/>
    <w:rsid w:val="00D27B39"/>
    <w:rsid w:val="00D35166"/>
    <w:rsid w:val="00D4490D"/>
    <w:rsid w:val="00D56A2C"/>
    <w:rsid w:val="00D570E9"/>
    <w:rsid w:val="00D75D3E"/>
    <w:rsid w:val="00D84436"/>
    <w:rsid w:val="00D877BD"/>
    <w:rsid w:val="00D902AD"/>
    <w:rsid w:val="00D92D9A"/>
    <w:rsid w:val="00D95371"/>
    <w:rsid w:val="00D978FA"/>
    <w:rsid w:val="00DA7306"/>
    <w:rsid w:val="00DA7CDD"/>
    <w:rsid w:val="00DB1FE2"/>
    <w:rsid w:val="00DB25F2"/>
    <w:rsid w:val="00DC488C"/>
    <w:rsid w:val="00DC6B80"/>
    <w:rsid w:val="00DD39E9"/>
    <w:rsid w:val="00DE2B6E"/>
    <w:rsid w:val="00DE324B"/>
    <w:rsid w:val="00DE5CA0"/>
    <w:rsid w:val="00DF0F28"/>
    <w:rsid w:val="00DF0F49"/>
    <w:rsid w:val="00DF60F5"/>
    <w:rsid w:val="00E02EF4"/>
    <w:rsid w:val="00E0418E"/>
    <w:rsid w:val="00E1016F"/>
    <w:rsid w:val="00E1446C"/>
    <w:rsid w:val="00E16F5A"/>
    <w:rsid w:val="00E170AF"/>
    <w:rsid w:val="00E17293"/>
    <w:rsid w:val="00E17CA6"/>
    <w:rsid w:val="00E2298D"/>
    <w:rsid w:val="00E241DB"/>
    <w:rsid w:val="00E307F8"/>
    <w:rsid w:val="00E3091B"/>
    <w:rsid w:val="00E32EA5"/>
    <w:rsid w:val="00E40E54"/>
    <w:rsid w:val="00E45300"/>
    <w:rsid w:val="00E461D8"/>
    <w:rsid w:val="00E51C09"/>
    <w:rsid w:val="00E542E3"/>
    <w:rsid w:val="00E5755A"/>
    <w:rsid w:val="00E57CCB"/>
    <w:rsid w:val="00E60436"/>
    <w:rsid w:val="00E64FEA"/>
    <w:rsid w:val="00E718FC"/>
    <w:rsid w:val="00E74E7B"/>
    <w:rsid w:val="00E854E9"/>
    <w:rsid w:val="00E9089A"/>
    <w:rsid w:val="00EA33F2"/>
    <w:rsid w:val="00EA4C69"/>
    <w:rsid w:val="00EB28FC"/>
    <w:rsid w:val="00EB34D1"/>
    <w:rsid w:val="00EB4AB0"/>
    <w:rsid w:val="00EB585D"/>
    <w:rsid w:val="00EB68DB"/>
    <w:rsid w:val="00EC1333"/>
    <w:rsid w:val="00EC522B"/>
    <w:rsid w:val="00ED3680"/>
    <w:rsid w:val="00ED6456"/>
    <w:rsid w:val="00EE0394"/>
    <w:rsid w:val="00EE3414"/>
    <w:rsid w:val="00EF04C5"/>
    <w:rsid w:val="00EF4778"/>
    <w:rsid w:val="00EF782D"/>
    <w:rsid w:val="00F0335D"/>
    <w:rsid w:val="00F05CFC"/>
    <w:rsid w:val="00F0692A"/>
    <w:rsid w:val="00F147FE"/>
    <w:rsid w:val="00F17265"/>
    <w:rsid w:val="00F214A0"/>
    <w:rsid w:val="00F215B0"/>
    <w:rsid w:val="00F22759"/>
    <w:rsid w:val="00F2384E"/>
    <w:rsid w:val="00F272DF"/>
    <w:rsid w:val="00F27A8D"/>
    <w:rsid w:val="00F42BAC"/>
    <w:rsid w:val="00F44592"/>
    <w:rsid w:val="00F45A3A"/>
    <w:rsid w:val="00F50E63"/>
    <w:rsid w:val="00F53A12"/>
    <w:rsid w:val="00F543A1"/>
    <w:rsid w:val="00F566AF"/>
    <w:rsid w:val="00F60E73"/>
    <w:rsid w:val="00F62EAB"/>
    <w:rsid w:val="00F65097"/>
    <w:rsid w:val="00F66DCB"/>
    <w:rsid w:val="00F67C3D"/>
    <w:rsid w:val="00F73E8D"/>
    <w:rsid w:val="00F74DAF"/>
    <w:rsid w:val="00F8430B"/>
    <w:rsid w:val="00F848B9"/>
    <w:rsid w:val="00F84A86"/>
    <w:rsid w:val="00F873A0"/>
    <w:rsid w:val="00F9134B"/>
    <w:rsid w:val="00F93BAE"/>
    <w:rsid w:val="00F94DE5"/>
    <w:rsid w:val="00F94E8D"/>
    <w:rsid w:val="00FB55F0"/>
    <w:rsid w:val="00FB7267"/>
    <w:rsid w:val="00FB7E00"/>
    <w:rsid w:val="00FC11E3"/>
    <w:rsid w:val="00FC2EDA"/>
    <w:rsid w:val="00FC3723"/>
    <w:rsid w:val="00FC59D8"/>
    <w:rsid w:val="00FD424E"/>
    <w:rsid w:val="00FD7A9D"/>
    <w:rsid w:val="00FE1978"/>
    <w:rsid w:val="00FE1EE7"/>
    <w:rsid w:val="00FE2C95"/>
    <w:rsid w:val="00FE512E"/>
    <w:rsid w:val="00FE5FC4"/>
    <w:rsid w:val="00FF06BE"/>
    <w:rsid w:val="00FF4CAE"/>
    <w:rsid w:val="00FF5420"/>
    <w:rsid w:val="00FF68F9"/>
    <w:rsid w:val="00FF75BC"/>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tabs>
        <w:tab w:val="num" w:pos="720"/>
      </w:tabs>
      <w:ind w:left="360"/>
      <w:outlineLvl w:val="2"/>
    </w:pPr>
    <w:rPr>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ind w:left="3420" w:hanging="3420"/>
      <w:outlineLvl w:val="4"/>
    </w:pPr>
    <w:rPr>
      <w:u w:val="single"/>
    </w:rPr>
  </w:style>
  <w:style w:type="paragraph" w:styleId="Heading6">
    <w:name w:val="heading 6"/>
    <w:basedOn w:val="Normal"/>
    <w:next w:val="Normal"/>
    <w:qFormat/>
    <w:pPr>
      <w:keepNext/>
      <w:pBdr>
        <w:top w:val="single" w:sz="6" w:space="1" w:color="auto"/>
        <w:bottom w:val="single" w:sz="6" w:space="1" w:color="auto"/>
      </w:pBdr>
      <w:jc w:val="center"/>
      <w:outlineLvl w:val="5"/>
    </w:pPr>
    <w:rPr>
      <w:b/>
      <w:bCs/>
      <w:sz w:val="24"/>
    </w:rPr>
  </w:style>
  <w:style w:type="paragraph" w:styleId="Heading7">
    <w:name w:val="heading 7"/>
    <w:basedOn w:val="Normal"/>
    <w:next w:val="Normal"/>
    <w:qFormat/>
    <w:pPr>
      <w:keepNext/>
      <w:tabs>
        <w:tab w:val="num" w:pos="1080"/>
        <w:tab w:val="num" w:pos="1440"/>
      </w:tabs>
      <w:jc w:val="both"/>
      <w:outlineLvl w:val="6"/>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340" w:hanging="2340"/>
    </w:pPr>
  </w:style>
  <w:style w:type="paragraph" w:styleId="BodyTextIndent2">
    <w:name w:val="Body Text Indent 2"/>
    <w:basedOn w:val="Normal"/>
    <w:pPr>
      <w:ind w:left="3420" w:hanging="34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num" w:pos="1440"/>
      </w:tabs>
      <w:jc w:val="both"/>
    </w:pPr>
    <w:rPr>
      <w:sz w:val="24"/>
    </w:rPr>
  </w:style>
  <w:style w:type="character" w:styleId="Hyperlink">
    <w:name w:val="Hyperlink"/>
    <w:rPr>
      <w:color w:val="0000FF"/>
      <w:u w:val="single"/>
    </w:rPr>
  </w:style>
  <w:style w:type="paragraph" w:styleId="BodyText2">
    <w:name w:val="Body Text 2"/>
    <w:basedOn w:val="Normal"/>
    <w:pPr>
      <w:tabs>
        <w:tab w:val="num" w:pos="1440"/>
        <w:tab w:val="num" w:pos="5220"/>
      </w:tabs>
    </w:pPr>
    <w:rPr>
      <w:sz w:val="24"/>
    </w:rPr>
  </w:style>
  <w:style w:type="character" w:styleId="FollowedHyperlink">
    <w:name w:val="FollowedHyperlink"/>
    <w:rsid w:val="00290E99"/>
    <w:rPr>
      <w:color w:val="800080"/>
      <w:u w:val="single"/>
    </w:rPr>
  </w:style>
  <w:style w:type="table" w:styleId="TableGrid">
    <w:name w:val="Table Grid"/>
    <w:basedOn w:val="TableNormal"/>
    <w:rsid w:val="00B83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0D3A"/>
    <w:pPr>
      <w:spacing w:before="144" w:after="288"/>
    </w:pPr>
    <w:rPr>
      <w:sz w:val="24"/>
    </w:rPr>
  </w:style>
  <w:style w:type="paragraph" w:styleId="BalloonText">
    <w:name w:val="Balloon Text"/>
    <w:basedOn w:val="Normal"/>
    <w:link w:val="BalloonTextChar"/>
    <w:uiPriority w:val="99"/>
    <w:semiHidden/>
    <w:unhideWhenUsed/>
    <w:rsid w:val="00B5200D"/>
    <w:rPr>
      <w:rFonts w:ascii="Tahoma" w:hAnsi="Tahoma" w:cs="Tahoma"/>
      <w:sz w:val="16"/>
      <w:szCs w:val="16"/>
    </w:rPr>
  </w:style>
  <w:style w:type="character" w:customStyle="1" w:styleId="BalloonTextChar">
    <w:name w:val="Balloon Text Char"/>
    <w:basedOn w:val="DefaultParagraphFont"/>
    <w:link w:val="BalloonText"/>
    <w:uiPriority w:val="99"/>
    <w:semiHidden/>
    <w:rsid w:val="00B5200D"/>
    <w:rPr>
      <w:rFonts w:ascii="Tahoma" w:hAnsi="Tahoma" w:cs="Tahoma"/>
      <w:sz w:val="16"/>
      <w:szCs w:val="16"/>
    </w:rPr>
  </w:style>
  <w:style w:type="character" w:styleId="PlaceholderText">
    <w:name w:val="Placeholder Text"/>
    <w:basedOn w:val="DefaultParagraphFont"/>
    <w:uiPriority w:val="99"/>
    <w:semiHidden/>
    <w:rsid w:val="00B5200D"/>
    <w:rPr>
      <w:color w:val="808080"/>
    </w:rPr>
  </w:style>
  <w:style w:type="paragraph" w:styleId="ListParagraph">
    <w:name w:val="List Paragraph"/>
    <w:basedOn w:val="Normal"/>
    <w:uiPriority w:val="34"/>
    <w:qFormat/>
    <w:rsid w:val="001822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tabs>
        <w:tab w:val="num" w:pos="720"/>
      </w:tabs>
      <w:ind w:left="360"/>
      <w:outlineLvl w:val="2"/>
    </w:pPr>
    <w:rPr>
      <w:u w:val="single"/>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ind w:left="3420" w:hanging="3420"/>
      <w:outlineLvl w:val="4"/>
    </w:pPr>
    <w:rPr>
      <w:u w:val="single"/>
    </w:rPr>
  </w:style>
  <w:style w:type="paragraph" w:styleId="Heading6">
    <w:name w:val="heading 6"/>
    <w:basedOn w:val="Normal"/>
    <w:next w:val="Normal"/>
    <w:qFormat/>
    <w:pPr>
      <w:keepNext/>
      <w:pBdr>
        <w:top w:val="single" w:sz="6" w:space="1" w:color="auto"/>
        <w:bottom w:val="single" w:sz="6" w:space="1" w:color="auto"/>
      </w:pBdr>
      <w:jc w:val="center"/>
      <w:outlineLvl w:val="5"/>
    </w:pPr>
    <w:rPr>
      <w:b/>
      <w:bCs/>
      <w:sz w:val="24"/>
    </w:rPr>
  </w:style>
  <w:style w:type="paragraph" w:styleId="Heading7">
    <w:name w:val="heading 7"/>
    <w:basedOn w:val="Normal"/>
    <w:next w:val="Normal"/>
    <w:qFormat/>
    <w:pPr>
      <w:keepNext/>
      <w:tabs>
        <w:tab w:val="num" w:pos="1080"/>
        <w:tab w:val="num" w:pos="1440"/>
      </w:tabs>
      <w:jc w:val="both"/>
      <w:outlineLvl w:val="6"/>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340" w:hanging="2340"/>
    </w:pPr>
  </w:style>
  <w:style w:type="paragraph" w:styleId="BodyTextIndent2">
    <w:name w:val="Body Text Indent 2"/>
    <w:basedOn w:val="Normal"/>
    <w:pPr>
      <w:ind w:left="3420" w:hanging="34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num" w:pos="1440"/>
      </w:tabs>
      <w:jc w:val="both"/>
    </w:pPr>
    <w:rPr>
      <w:sz w:val="24"/>
    </w:rPr>
  </w:style>
  <w:style w:type="character" w:styleId="Hyperlink">
    <w:name w:val="Hyperlink"/>
    <w:rPr>
      <w:color w:val="0000FF"/>
      <w:u w:val="single"/>
    </w:rPr>
  </w:style>
  <w:style w:type="paragraph" w:styleId="BodyText2">
    <w:name w:val="Body Text 2"/>
    <w:basedOn w:val="Normal"/>
    <w:pPr>
      <w:tabs>
        <w:tab w:val="num" w:pos="1440"/>
        <w:tab w:val="num" w:pos="5220"/>
      </w:tabs>
    </w:pPr>
    <w:rPr>
      <w:sz w:val="24"/>
    </w:rPr>
  </w:style>
  <w:style w:type="character" w:styleId="FollowedHyperlink">
    <w:name w:val="FollowedHyperlink"/>
    <w:rsid w:val="00290E99"/>
    <w:rPr>
      <w:color w:val="800080"/>
      <w:u w:val="single"/>
    </w:rPr>
  </w:style>
  <w:style w:type="table" w:styleId="TableGrid">
    <w:name w:val="Table Grid"/>
    <w:basedOn w:val="TableNormal"/>
    <w:rsid w:val="00B83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0D3A"/>
    <w:pPr>
      <w:spacing w:before="144" w:after="288"/>
    </w:pPr>
    <w:rPr>
      <w:sz w:val="24"/>
    </w:rPr>
  </w:style>
  <w:style w:type="paragraph" w:styleId="BalloonText">
    <w:name w:val="Balloon Text"/>
    <w:basedOn w:val="Normal"/>
    <w:link w:val="BalloonTextChar"/>
    <w:uiPriority w:val="99"/>
    <w:semiHidden/>
    <w:unhideWhenUsed/>
    <w:rsid w:val="00B5200D"/>
    <w:rPr>
      <w:rFonts w:ascii="Tahoma" w:hAnsi="Tahoma" w:cs="Tahoma"/>
      <w:sz w:val="16"/>
      <w:szCs w:val="16"/>
    </w:rPr>
  </w:style>
  <w:style w:type="character" w:customStyle="1" w:styleId="BalloonTextChar">
    <w:name w:val="Balloon Text Char"/>
    <w:basedOn w:val="DefaultParagraphFont"/>
    <w:link w:val="BalloonText"/>
    <w:uiPriority w:val="99"/>
    <w:semiHidden/>
    <w:rsid w:val="00B5200D"/>
    <w:rPr>
      <w:rFonts w:ascii="Tahoma" w:hAnsi="Tahoma" w:cs="Tahoma"/>
      <w:sz w:val="16"/>
      <w:szCs w:val="16"/>
    </w:rPr>
  </w:style>
  <w:style w:type="character" w:styleId="PlaceholderText">
    <w:name w:val="Placeholder Text"/>
    <w:basedOn w:val="DefaultParagraphFont"/>
    <w:uiPriority w:val="99"/>
    <w:semiHidden/>
    <w:rsid w:val="00B5200D"/>
    <w:rPr>
      <w:color w:val="808080"/>
    </w:rPr>
  </w:style>
  <w:style w:type="paragraph" w:styleId="ListParagraph">
    <w:name w:val="List Paragraph"/>
    <w:basedOn w:val="Normal"/>
    <w:uiPriority w:val="34"/>
    <w:qFormat/>
    <w:rsid w:val="00182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6487">
      <w:bodyDiv w:val="1"/>
      <w:marLeft w:val="0"/>
      <w:marRight w:val="0"/>
      <w:marTop w:val="0"/>
      <w:marBottom w:val="0"/>
      <w:divBdr>
        <w:top w:val="none" w:sz="0" w:space="0" w:color="auto"/>
        <w:left w:val="none" w:sz="0" w:space="0" w:color="auto"/>
        <w:bottom w:val="none" w:sz="0" w:space="0" w:color="auto"/>
        <w:right w:val="none" w:sz="0" w:space="0" w:color="auto"/>
      </w:divBdr>
      <w:divsChild>
        <w:div w:id="713847685">
          <w:marLeft w:val="150"/>
          <w:marRight w:val="150"/>
          <w:marTop w:val="150"/>
          <w:marBottom w:val="150"/>
          <w:divBdr>
            <w:top w:val="none" w:sz="0" w:space="0" w:color="auto"/>
            <w:left w:val="none" w:sz="0" w:space="0" w:color="auto"/>
            <w:bottom w:val="none" w:sz="0" w:space="0" w:color="auto"/>
            <w:right w:val="none" w:sz="0" w:space="0" w:color="auto"/>
          </w:divBdr>
          <w:divsChild>
            <w:div w:id="1776515178">
              <w:marLeft w:val="2790"/>
              <w:marRight w:val="0"/>
              <w:marTop w:val="0"/>
              <w:marBottom w:val="0"/>
              <w:divBdr>
                <w:top w:val="none" w:sz="0" w:space="0" w:color="auto"/>
                <w:left w:val="none" w:sz="0" w:space="0" w:color="auto"/>
                <w:bottom w:val="none" w:sz="0" w:space="0" w:color="auto"/>
                <w:right w:val="none" w:sz="0" w:space="0" w:color="auto"/>
              </w:divBdr>
              <w:divsChild>
                <w:div w:id="1201749005">
                  <w:marLeft w:val="240"/>
                  <w:marRight w:val="300"/>
                  <w:marTop w:val="0"/>
                  <w:marBottom w:val="0"/>
                  <w:divBdr>
                    <w:top w:val="none" w:sz="0" w:space="0" w:color="auto"/>
                    <w:left w:val="none" w:sz="0" w:space="0" w:color="auto"/>
                    <w:bottom w:val="none" w:sz="0" w:space="0" w:color="auto"/>
                    <w:right w:val="none" w:sz="0" w:space="0" w:color="auto"/>
                  </w:divBdr>
                  <w:divsChild>
                    <w:div w:id="1565144259">
                      <w:marLeft w:val="240"/>
                      <w:marRight w:val="300"/>
                      <w:marTop w:val="0"/>
                      <w:marBottom w:val="0"/>
                      <w:divBdr>
                        <w:top w:val="none" w:sz="0" w:space="0" w:color="auto"/>
                        <w:left w:val="none" w:sz="0" w:space="0" w:color="auto"/>
                        <w:bottom w:val="none" w:sz="0" w:space="0" w:color="auto"/>
                        <w:right w:val="none" w:sz="0" w:space="0" w:color="auto"/>
                      </w:divBdr>
                      <w:divsChild>
                        <w:div w:id="2001737055">
                          <w:marLeft w:val="240"/>
                          <w:marRight w:val="300"/>
                          <w:marTop w:val="0"/>
                          <w:marBottom w:val="0"/>
                          <w:divBdr>
                            <w:top w:val="none" w:sz="0" w:space="0" w:color="auto"/>
                            <w:left w:val="none" w:sz="0" w:space="0" w:color="auto"/>
                            <w:bottom w:val="none" w:sz="0" w:space="0" w:color="auto"/>
                            <w:right w:val="none" w:sz="0" w:space="0" w:color="auto"/>
                          </w:divBdr>
                          <w:divsChild>
                            <w:div w:id="1588884741">
                              <w:marLeft w:val="240"/>
                              <w:marRight w:val="300"/>
                              <w:marTop w:val="0"/>
                              <w:marBottom w:val="0"/>
                              <w:divBdr>
                                <w:top w:val="none" w:sz="0" w:space="0" w:color="auto"/>
                                <w:left w:val="none" w:sz="0" w:space="0" w:color="auto"/>
                                <w:bottom w:val="none" w:sz="0" w:space="0" w:color="auto"/>
                                <w:right w:val="none" w:sz="0" w:space="0" w:color="auto"/>
                              </w:divBdr>
                              <w:divsChild>
                                <w:div w:id="1918123712">
                                  <w:marLeft w:val="24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Lecture 01</vt:lpstr>
    </vt:vector>
  </TitlesOfParts>
  <Company>Microsoft</Company>
  <LinksUpToDate>false</LinksUpToDate>
  <CharactersWithSpaces>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01</dc:title>
  <dc:creator>Michael Thorne</dc:creator>
  <cp:lastModifiedBy>elthorno</cp:lastModifiedBy>
  <cp:revision>3</cp:revision>
  <cp:lastPrinted>2008-09-30T18:08:00Z</cp:lastPrinted>
  <dcterms:created xsi:type="dcterms:W3CDTF">2017-08-30T17:05:00Z</dcterms:created>
  <dcterms:modified xsi:type="dcterms:W3CDTF">2017-08-30T17:06:00Z</dcterms:modified>
</cp:coreProperties>
</file>