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Service Architecture Overview</w:t>
      </w:r>
    </w:p>
    <w:p>
      <w:r>
        <w:t>How billing-service fits into the platform.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Invoice creation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Dunning emails</w:t>
      </w:r>
    </w:p>
    <w:p>
      <w:pPr>
        <w:pStyle w:val="Heading1"/>
      </w:pPr>
      <w:r>
        <w:t>Dependencies</w:t>
      </w:r>
    </w:p>
    <w:p>
      <w:pPr>
        <w:pStyle w:val="ListBullet"/>
      </w:pPr>
      <w:r>
        <w:t>PostgreSQL for state</w:t>
      </w:r>
    </w:p>
    <w:p>
      <w:pPr>
        <w:pStyle w:val="ListBullet"/>
      </w:pPr>
      <w:r>
        <w:t>Stripe for charges</w:t>
      </w:r>
    </w:p>
    <w:p>
      <w:pPr>
        <w:pStyle w:val="ListBullet"/>
      </w:pPr>
      <w:r>
        <w:t>Kafka topic billing.events for downstream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