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Billing Service Architecture Overview</w:t>
      </w:r>
    </w:p>
    <w:p>
      <w:pPr>
        <w:pStyle w:val="IntenseQuote"/>
      </w:pPr>
      <w:r>
        <w:t>Attached to the "Billing Service Setup" project setup record in the Project Setups section, owned by Payments Team.</w:t>
      </w:r>
    </w:p>
    <w:p>
      <w:r>
        <w:t>How billing-service fits into the platform.</w:t>
      </w:r>
    </w:p>
    <w:p>
      <w:pPr>
        <w:pStyle w:val="Heading1"/>
      </w:pPr>
      <w:r>
        <w:t>Responsibilities</w:t>
      </w:r>
    </w:p>
    <w:p>
      <w:pPr>
        <w:pStyle w:val="ListBullet"/>
      </w:pPr>
      <w:r>
        <w:t>Invoice creation</w:t>
      </w:r>
    </w:p>
    <w:p>
      <w:pPr>
        <w:pStyle w:val="ListBullet"/>
      </w:pPr>
      <w:r>
        <w:t>Payment reconciliation</w:t>
      </w:r>
    </w:p>
    <w:p>
      <w:pPr>
        <w:pStyle w:val="ListBullet"/>
      </w:pPr>
      <w:r>
        <w:t>Dunning emails</w:t>
      </w:r>
    </w:p>
    <w:p>
      <w:pPr>
        <w:pStyle w:val="Heading1"/>
      </w:pPr>
      <w:r>
        <w:t>Dependencies</w:t>
      </w:r>
    </w:p>
    <w:p>
      <w:pPr>
        <w:pStyle w:val="ListBullet"/>
      </w:pPr>
      <w:r>
        <w:t>PostgreSQL for state</w:t>
      </w:r>
    </w:p>
    <w:p>
      <w:pPr>
        <w:pStyle w:val="ListBullet"/>
      </w:pPr>
      <w:r>
        <w:t>Stripe for charges</w:t>
      </w:r>
    </w:p>
    <w:p>
      <w:pPr>
        <w:pStyle w:val="ListBullet"/>
      </w:pPr>
      <w:r>
        <w:t>Kafka topic billing.events for downstream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