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Benefits Overview</w:t>
      </w:r>
    </w:p>
    <w:p>
      <w:pPr>
        <w:pStyle w:val="IntenseQuote"/>
      </w:pPr>
      <w:r>
        <w:t>Attached to the "Health Insurance and Benefits Enrollment" HR policy in the People and HR section, owned by Benefits Team.</w:t>
      </w:r>
    </w:p>
    <w:p>
      <w:r>
        <w:t>Summary of the benefits package for new hires.</w:t>
      </w:r>
    </w:p>
    <w:p>
      <w:pPr>
        <w:pStyle w:val="Heading1"/>
      </w:pPr>
      <w:r>
        <w:t>Health</w:t>
      </w:r>
    </w:p>
    <w:p>
      <w:pPr>
        <w:pStyle w:val="ListBullet"/>
      </w:pPr>
      <w:r>
        <w:t>100% employee premium covered</w:t>
      </w:r>
    </w:p>
    <w:p>
      <w:pPr>
        <w:pStyle w:val="ListBullet"/>
      </w:pPr>
      <w:r>
        <w:t>60% dependent premium covered</w:t>
      </w:r>
    </w:p>
    <w:p>
      <w:pPr>
        <w:pStyle w:val="ListBullet"/>
      </w:pPr>
      <w:r>
        <w:t>Dental and vision included</w:t>
      </w:r>
    </w:p>
    <w:p>
      <w:pPr>
        <w:pStyle w:val="Heading1"/>
      </w:pPr>
      <w:r>
        <w:t>Wellness</w:t>
      </w:r>
    </w:p>
    <w:p>
      <w:pPr>
        <w:pStyle w:val="ListBullet"/>
      </w:pPr>
      <w:r>
        <w:t>Annual wellness budget of 500 EUR</w:t>
      </w:r>
    </w:p>
    <w:p>
      <w:pPr>
        <w:pStyle w:val="ListBullet"/>
      </w:pPr>
      <w:r>
        <w:t>Employee assistance program</w:t>
      </w:r>
    </w:p>
    <w:p>
      <w:pPr>
        <w:pStyle w:val="Heading1"/>
      </w:pPr>
      <w:r>
        <w:t>Retirement</w:t>
      </w:r>
    </w:p>
    <w:p>
      <w:pPr>
        <w:pStyle w:val="ListBullet"/>
      </w:pPr>
      <w:r>
        <w:t>Employer pension match up to 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