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rPr>
          <w:sz w:val="16"/>
          <w:szCs w:val="16"/>
        </w:rPr>
      </w:pPr>
      <w:r>
        <w:rPr>
          <w:sz w:val="16"/>
          <w:szCs w:val="16"/>
        </w:rPr>
        <w:t>Rx filters for a direct RF sampling SDR with Fs = 60MHz</w:t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  <w:t>Design goals:</w:t>
      </w:r>
    </w:p>
    <w:p>
      <w:pPr>
        <w:pStyle w:val="para4"/>
        <w:numPr>
          <w:ilvl w:val="0"/>
          <w:numId w:val="4"/>
        </w:numPr>
        <w:ind w:left="360" w:hanging="360"/>
        <w:rPr>
          <w:sz w:val="12"/>
          <w:szCs w:val="12"/>
        </w:rPr>
      </w:pPr>
      <w:r>
        <w:rPr>
          <w:sz w:val="12"/>
          <w:szCs w:val="12"/>
        </w:rPr>
        <w:t>Chebyshev, 0.1dB ripple</w:t>
      </w:r>
    </w:p>
    <w:p>
      <w:pPr>
        <w:pStyle w:val="para4"/>
        <w:numPr>
          <w:ilvl w:val="0"/>
          <w:numId w:val="4"/>
        </w:numPr>
        <w:ind w:left="360" w:hanging="360"/>
        <w:rPr>
          <w:i/>
          <w:iCs/>
          <w:sz w:val="12"/>
          <w:szCs w:val="12"/>
        </w:rPr>
      </w:pPr>
      <w:r>
        <w:rPr>
          <w:sz w:val="12"/>
          <w:szCs w:val="12"/>
        </w:rPr>
        <w:t>loaded Q &lt; 10</w:t>
      </w:r>
      <w:r>
        <w:rPr>
          <w:i/>
          <w:iCs/>
          <w:sz w:val="12"/>
          <w:szCs w:val="12"/>
        </w:rPr>
      </w:r>
    </w:p>
    <w:p>
      <w:pPr>
        <w:pStyle w:val="para4"/>
        <w:numPr>
          <w:ilvl w:val="0"/>
          <w:numId w:val="4"/>
        </w:numPr>
        <w:ind w:left="360" w:hanging="360"/>
        <w:rPr>
          <w:sz w:val="12"/>
          <w:szCs w:val="12"/>
        </w:rPr>
      </w:pPr>
      <w:r>
        <w:rPr>
          <w:sz w:val="12"/>
          <w:szCs w:val="12"/>
        </w:rPr>
        <w:t>alias rejection &gt; 69dB (AD9226 has SNR 69dB)</w:t>
      </w:r>
    </w:p>
    <w:p>
      <w:pPr>
        <w:pStyle w:val="para4"/>
        <w:numPr>
          <w:ilvl w:val="0"/>
          <w:numId w:val="4"/>
        </w:numPr>
        <w:ind w:left="360" w:hanging="360"/>
        <w:rPr>
          <w:sz w:val="12"/>
          <w:szCs w:val="12"/>
        </w:rPr>
      </w:pPr>
      <w:r>
        <w:rPr>
          <w:sz w:val="12"/>
          <w:szCs w:val="12"/>
        </w:rPr>
        <w:t>IMDR &gt; 100dB (requires T50-X toroids)</w:t>
      </w:r>
    </w:p>
    <w:p>
      <w:pPr>
        <w:pStyle w:val="para4"/>
        <w:numPr>
          <w:ilvl w:val="0"/>
          <w:numId w:val="4"/>
        </w:numPr>
        <w:ind w:left="360" w:hanging="360"/>
        <w:rPr>
          <w:sz w:val="12"/>
          <w:szCs w:val="12"/>
        </w:rPr>
      </w:pPr>
      <w:r>
        <w:rPr>
          <w:sz w:val="12"/>
          <w:szCs w:val="12"/>
        </w:rPr>
        <w:t>Z₀ = 50 Ohm</w:t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5"/>
        <w:tabOrder w:val="0"/>
        <w:jc w:val="left"/>
        <w:tblInd w:w="0" w:type="dxa"/>
        <w:tblW w:w="6143" w:type="dxa"/>
        <w:pPr>
          <w:pStyle w:val="para4"/>
          <w:rPr>
            <w:sz w:val="12"/>
            <w:szCs w:val="12"/>
          </w:rPr>
        </w:pPr>
        <w:tblLook w:val="0600" w:firstRow="0" w:lastRow="0" w:firstColumn="0" w:lastColumn="0" w:noHBand="1" w:noVBand="1"/>
      </w:tblPr>
      <w:tblGrid>
        <w:gridCol w:w="384"/>
        <w:gridCol w:w="384"/>
        <w:gridCol w:w="736"/>
        <w:gridCol w:w="792"/>
        <w:gridCol w:w="249"/>
        <w:gridCol w:w="265"/>
        <w:gridCol w:w="281"/>
        <w:gridCol w:w="281"/>
        <w:gridCol w:w="444"/>
        <w:gridCol w:w="2327"/>
      </w:tblGrid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LPF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order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-3dB, MHz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-70dB, MHz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IL, dB</w:t>
            </w:r>
          </w:p>
        </w:tc>
        <w:tc>
          <w:tcPr>
            <w:tcW w:w="23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40m</w:t>
            </w:r>
          </w:p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28.5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3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L2, L8 = 11t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676nH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L4, L6 = 12t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784nH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15m</w:t>
            </w:r>
          </w:p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45.1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3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L2, L10 = 9t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375nH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L4, L6, L8 = 10t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446nH</w:t>
            </w:r>
          </w:p>
        </w:tc>
      </w:tr>
    </w:tbl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3"/>
        <w:tabOrder w:val="0"/>
        <w:jc w:val="left"/>
        <w:tblInd w:w="0" w:type="dxa"/>
        <w:tblW w:w="5916" w:type="dxa"/>
        <w:pPr>
          <w:pStyle w:val="para4"/>
        </w:pPr>
        <w:tblLook w:val="0600" w:firstRow="0" w:lastRow="0" w:firstColumn="0" w:lastColumn="0" w:noHBand="1" w:noVBand="1"/>
      </w:tblPr>
      <w:tblGrid>
        <w:gridCol w:w="384"/>
        <w:gridCol w:w="384"/>
        <w:gridCol w:w="736"/>
        <w:gridCol w:w="792"/>
        <w:gridCol w:w="249"/>
        <w:gridCol w:w="265"/>
        <w:gridCol w:w="281"/>
        <w:gridCol w:w="281"/>
        <w:gridCol w:w="444"/>
        <w:gridCol w:w="2100"/>
      </w:tblGrid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HPF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order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-3dB, MHz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-70dB, MHz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IL, dB</w:t>
            </w:r>
          </w:p>
        </w:tc>
        <w:tc>
          <w:tcPr>
            <w:tcW w:w="21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1.5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L1 = 23t 0.25mm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2.5uH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L3, L5 = 17t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1.44uH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L7 = 19t 0.25mm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1.76uH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40m</w:t>
            </w:r>
          </w:p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6.5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3.1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L1 = 15t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1.156uH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L3, L5 = 11t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676nH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L7 = 12t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784nH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15m</w:t>
            </w:r>
          </w:p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9.7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3607450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L1 = 9t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375nH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L3, L5 = 6t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198nH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L7 = 7t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251nH</w:t>
            </w:r>
          </w:p>
        </w:tc>
      </w:tr>
    </w:tbl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  <w:t>*</w:t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  <w:t>------------------------------</w:t>
      </w:r>
    </w:p>
    <w:p>
      <w:pPr>
        <w:pStyle w:val="para4"/>
        <w:rPr>
          <w:sz w:val="12"/>
          <w:szCs w:val="12"/>
          <w:lang w:val="en-us"/>
        </w:rPr>
      </w:pPr>
      <w:r>
        <w:rPr>
          <w:sz w:val="12"/>
          <w:szCs w:val="12"/>
        </w:rPr>
        <w:t xml:space="preserve">Up to 18t on T50-X, use </w:t>
      </w:r>
      <w:r>
        <w:rPr>
          <w:sz w:val="12"/>
          <w:szCs w:val="12"/>
          <w:lang w:val="en-us"/>
        </w:rPr>
        <w:t>0.34mm</w:t>
      </w:r>
      <w:r>
        <w:rPr>
          <w:sz w:val="12"/>
          <w:szCs w:val="12"/>
          <w:vertAlign w:val="superscript"/>
          <w:lang w:val="en-us"/>
        </w:rPr>
        <w:t>2</w:t>
      </w:r>
      <w:r>
        <w:rPr>
          <w:sz w:val="12"/>
          <w:szCs w:val="12"/>
          <w:lang w:val="en-us"/>
        </w:rPr>
        <w:t>, more than 18t, use 0.25mm</w:t>
      </w:r>
      <w:r>
        <w:rPr>
          <w:sz w:val="12"/>
          <w:szCs w:val="12"/>
          <w:vertAlign w:val="superscript"/>
          <w:lang w:val="en-us"/>
        </w:rPr>
        <w:t>2</w:t>
      </w:r>
      <w:r>
        <w:rPr>
          <w:sz w:val="12"/>
          <w:szCs w:val="12"/>
          <w:lang w:val="en-us"/>
        </w:rPr>
        <w:t>.</w:t>
      </w:r>
      <w:r>
        <w:rPr>
          <w:sz w:val="12"/>
          <w:szCs w:val="12"/>
          <w:lang w:val="en-us"/>
        </w:rPr>
      </w:r>
    </w:p>
    <w:p>
      <w:pPr>
        <w:pStyle w:val="para4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T50-X can’t handle more than 34 turns 0.25mm</w:t>
      </w:r>
      <w:r>
        <w:rPr>
          <w:sz w:val="12"/>
          <w:szCs w:val="12"/>
          <w:vertAlign w:val="superscript"/>
          <w:lang w:val="en-us"/>
        </w:rPr>
        <w:t>2</w:t>
      </w:r>
      <w:r>
        <w:rPr>
          <w:sz w:val="12"/>
          <w:szCs w:val="12"/>
          <w:lang w:val="en-ca"/>
        </w:rPr>
        <w:t xml:space="preserve"> </w:t>
      </w:r>
      <w:r>
        <w:rPr>
          <w:sz w:val="12"/>
          <w:szCs w:val="12"/>
          <w:lang w:val="en-us"/>
        </w:rPr>
        <w:t>with a diameter spacing.</w:t>
      </w:r>
      <w:r>
        <w:rPr>
          <w:sz w:val="12"/>
          <w:szCs w:val="12"/>
          <w:lang w:val="en-us"/>
        </w:rPr>
      </w:r>
    </w:p>
    <w:p>
      <w:pPr>
        <w:pStyle w:val="para4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6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Andale Sans UI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suff w:val="tab"/>
      <w:lvlText w:val="%1"/>
      <w:lvlJc w:val="left"/>
      <w:pPr>
        <w:ind w:left="1" w:hanging="0"/>
      </w:pPr>
    </w:lvl>
    <w:lvl w:ilvl="1">
      <w:start w:val="1"/>
      <w:numFmt w:val="none"/>
      <w:suff w:val="tab"/>
      <w:lvlText w:val="%2"/>
      <w:lvlJc w:val="left"/>
      <w:pPr>
        <w:ind w:left="1" w:hanging="0"/>
      </w:pPr>
    </w:lvl>
    <w:lvl w:ilvl="2">
      <w:start w:val="1"/>
      <w:numFmt w:val="none"/>
      <w:suff w:val="tab"/>
      <w:lvlText w:val="%3"/>
      <w:lvlJc w:val="left"/>
      <w:pPr>
        <w:ind w:left="1" w:hanging="0"/>
      </w:pPr>
    </w:lvl>
    <w:lvl w:ilvl="3">
      <w:start w:val="1"/>
      <w:numFmt w:val="none"/>
      <w:suff w:val="tab"/>
      <w:lvlText w:val="%4"/>
      <w:lvlJc w:val="left"/>
      <w:pPr>
        <w:ind w:left="1" w:hanging="0"/>
      </w:pPr>
    </w:lvl>
    <w:lvl w:ilvl="4">
      <w:start w:val="1"/>
      <w:numFmt w:val="none"/>
      <w:suff w:val="tab"/>
      <w:lvlText w:val="%5"/>
      <w:lvlJc w:val="left"/>
      <w:pPr>
        <w:ind w:left="1" w:hanging="0"/>
      </w:pPr>
    </w:lvl>
    <w:lvl w:ilvl="5">
      <w:start w:val="1"/>
      <w:numFmt w:val="none"/>
      <w:suff w:val="tab"/>
      <w:lvlText w:val="%6"/>
      <w:lvlJc w:val="left"/>
      <w:pPr>
        <w:ind w:left="1" w:hanging="0"/>
      </w:pPr>
    </w:lvl>
    <w:lvl w:ilvl="6">
      <w:start w:val="1"/>
      <w:numFmt w:val="none"/>
      <w:suff w:val="tab"/>
      <w:lvlText w:val="%7"/>
      <w:lvlJc w:val="left"/>
      <w:pPr>
        <w:ind w:left="1" w:hanging="0"/>
      </w:pPr>
    </w:lvl>
    <w:lvl w:ilvl="7">
      <w:start w:val="1"/>
      <w:numFmt w:val="none"/>
      <w:suff w:val="tab"/>
      <w:lvlText w:val="%8"/>
      <w:lvlJc w:val="left"/>
      <w:pPr>
        <w:ind w:left="1" w:hanging="0"/>
      </w:pPr>
    </w:lvl>
    <w:lvl w:ilvl="8">
      <w:start w:val="1"/>
      <w:numFmt w:val="none"/>
      <w:suff w:val="tab"/>
      <w:lvlText w:val="%9"/>
      <w:lvlJc w:val="left"/>
      <w:pPr>
        <w:ind w:left="1" w:hanging="0"/>
      </w:pPr>
    </w:lvl>
  </w:abstractNum>
  <w:abstractNum w:abstractNumId="2">
    <w:multiLevelType w:val="hybridMultilevel"/>
    <w:name w:val="L1"/>
    <w:lvl w:ilvl="0">
      <w:numFmt w:val="bullet"/>
      <w:suff w:val="tab"/>
      <w:lvlText w:val="•"/>
      <w:lvlJc w:val="left"/>
      <w:pPr>
        <w:ind w:left="361" w:hanging="0"/>
      </w:pPr>
      <w:rPr>
        <w:rFonts w:ascii="OpenSymbol" w:hAnsi="OpenSymbol" w:eastAsia="OpenSymbol" w:cs="OpenSymbol"/>
      </w:rPr>
    </w:lvl>
    <w:lvl w:ilvl="1">
      <w:numFmt w:val="bullet"/>
      <w:suff w:val="tab"/>
      <w:lvlText w:val="◦"/>
      <w:lvlJc w:val="left"/>
      <w:pPr>
        <w:ind w:left="721" w:hanging="0"/>
      </w:pPr>
      <w:rPr>
        <w:rFonts w:ascii="OpenSymbol" w:hAnsi="OpenSymbol" w:eastAsia="OpenSymbol" w:cs="OpenSymbol"/>
      </w:rPr>
    </w:lvl>
    <w:lvl w:ilvl="2">
      <w:numFmt w:val="bullet"/>
      <w:suff w:val="tab"/>
      <w:lvlText w:val="▪"/>
      <w:lvlJc w:val="left"/>
      <w:pPr>
        <w:ind w:left="1081" w:hanging="0"/>
      </w:pPr>
      <w:rPr>
        <w:rFonts w:ascii="OpenSymbol" w:hAnsi="OpenSymbol" w:eastAsia="OpenSymbol" w:cs="OpenSymbol"/>
      </w:rPr>
    </w:lvl>
    <w:lvl w:ilvl="3">
      <w:numFmt w:val="bullet"/>
      <w:suff w:val="tab"/>
      <w:lvlText w:val="•"/>
      <w:lvlJc w:val="left"/>
      <w:pPr>
        <w:ind w:left="1441" w:hanging="0"/>
      </w:pPr>
      <w:rPr>
        <w:rFonts w:ascii="OpenSymbol" w:hAnsi="OpenSymbol" w:eastAsia="OpenSymbol" w:cs="OpenSymbol"/>
      </w:rPr>
    </w:lvl>
    <w:lvl w:ilvl="4">
      <w:numFmt w:val="bullet"/>
      <w:suff w:val="tab"/>
      <w:lvlText w:val="◦"/>
      <w:lvlJc w:val="left"/>
      <w:pPr>
        <w:ind w:left="1801" w:hanging="0"/>
      </w:pPr>
      <w:rPr>
        <w:rFonts w:ascii="OpenSymbol" w:hAnsi="OpenSymbol" w:eastAsia="OpenSymbol" w:cs="OpenSymbol"/>
      </w:rPr>
    </w:lvl>
    <w:lvl w:ilvl="5">
      <w:numFmt w:val="bullet"/>
      <w:suff w:val="tab"/>
      <w:lvlText w:val="▪"/>
      <w:lvlJc w:val="left"/>
      <w:pPr>
        <w:ind w:left="2161" w:hanging="0"/>
      </w:pPr>
      <w:rPr>
        <w:rFonts w:ascii="OpenSymbol" w:hAnsi="OpenSymbol" w:eastAsia="OpenSymbol" w:cs="OpenSymbol"/>
      </w:rPr>
    </w:lvl>
    <w:lvl w:ilvl="6">
      <w:numFmt w:val="bullet"/>
      <w:suff w:val="tab"/>
      <w:lvlText w:val="•"/>
      <w:lvlJc w:val="left"/>
      <w:pPr>
        <w:ind w:left="2521" w:hanging="0"/>
      </w:pPr>
      <w:rPr>
        <w:rFonts w:ascii="OpenSymbol" w:hAnsi="OpenSymbol" w:eastAsia="OpenSymbol" w:cs="OpenSymbol"/>
      </w:rPr>
    </w:lvl>
    <w:lvl w:ilvl="7">
      <w:numFmt w:val="bullet"/>
      <w:suff w:val="tab"/>
      <w:lvlText w:val="◦"/>
      <w:lvlJc w:val="left"/>
      <w:pPr>
        <w:ind w:left="2881" w:hanging="0"/>
      </w:pPr>
      <w:rPr>
        <w:rFonts w:ascii="OpenSymbol" w:hAnsi="OpenSymbol" w:eastAsia="OpenSymbol" w:cs="OpenSymbol"/>
      </w:rPr>
    </w:lvl>
    <w:lvl w:ilvl="8">
      <w:numFmt w:val="bullet"/>
      <w:suff w:val="tab"/>
      <w:lvlText w:val="▪"/>
      <w:lvlJc w:val="left"/>
      <w:pPr>
        <w:ind w:left="3601" w:hanging="0"/>
      </w:pPr>
      <w:rPr>
        <w:rFonts w:ascii="OpenSymbol" w:hAnsi="OpenSymbol" w:eastAsia="OpenSymbol" w:cs="OpenSymbol"/>
      </w:rPr>
    </w:lvl>
  </w:abstractNum>
  <w:abstractNum w:abstractNumId="3">
    <w:multiLevelType w:val="hybridMultilevel"/>
    <w:name w:val="L2"/>
    <w:lvl w:ilvl="0">
      <w:numFmt w:val="bullet"/>
      <w:suff w:val="tab"/>
      <w:lvlText w:val="•"/>
      <w:lvlJc w:val="left"/>
      <w:pPr>
        <w:ind w:left="361" w:hanging="0"/>
      </w:pPr>
      <w:rPr>
        <w:rFonts w:ascii="OpenSymbol" w:hAnsi="OpenSymbol" w:eastAsia="OpenSymbol" w:cs="OpenSymbol"/>
      </w:rPr>
    </w:lvl>
    <w:lvl w:ilvl="1">
      <w:numFmt w:val="bullet"/>
      <w:suff w:val="tab"/>
      <w:lvlText w:val="◦"/>
      <w:lvlJc w:val="left"/>
      <w:pPr>
        <w:ind w:left="721" w:hanging="0"/>
      </w:pPr>
      <w:rPr>
        <w:rFonts w:ascii="OpenSymbol" w:hAnsi="OpenSymbol" w:eastAsia="OpenSymbol" w:cs="OpenSymbol"/>
      </w:rPr>
    </w:lvl>
    <w:lvl w:ilvl="2">
      <w:numFmt w:val="bullet"/>
      <w:suff w:val="tab"/>
      <w:lvlText w:val="▪"/>
      <w:lvlJc w:val="left"/>
      <w:pPr>
        <w:ind w:left="1081" w:hanging="0"/>
      </w:pPr>
      <w:rPr>
        <w:rFonts w:ascii="OpenSymbol" w:hAnsi="OpenSymbol" w:eastAsia="OpenSymbol" w:cs="OpenSymbol"/>
      </w:rPr>
    </w:lvl>
    <w:lvl w:ilvl="3">
      <w:numFmt w:val="bullet"/>
      <w:suff w:val="tab"/>
      <w:lvlText w:val="•"/>
      <w:lvlJc w:val="left"/>
      <w:pPr>
        <w:ind w:left="1441" w:hanging="0"/>
      </w:pPr>
      <w:rPr>
        <w:rFonts w:ascii="OpenSymbol" w:hAnsi="OpenSymbol" w:eastAsia="OpenSymbol" w:cs="OpenSymbol"/>
      </w:rPr>
    </w:lvl>
    <w:lvl w:ilvl="4">
      <w:numFmt w:val="bullet"/>
      <w:suff w:val="tab"/>
      <w:lvlText w:val="◦"/>
      <w:lvlJc w:val="left"/>
      <w:pPr>
        <w:ind w:left="1801" w:hanging="0"/>
      </w:pPr>
      <w:rPr>
        <w:rFonts w:ascii="OpenSymbol" w:hAnsi="OpenSymbol" w:eastAsia="OpenSymbol" w:cs="OpenSymbol"/>
      </w:rPr>
    </w:lvl>
    <w:lvl w:ilvl="5">
      <w:numFmt w:val="bullet"/>
      <w:suff w:val="tab"/>
      <w:lvlText w:val="▪"/>
      <w:lvlJc w:val="left"/>
      <w:pPr>
        <w:ind w:left="2161" w:hanging="0"/>
      </w:pPr>
      <w:rPr>
        <w:rFonts w:ascii="OpenSymbol" w:hAnsi="OpenSymbol" w:eastAsia="OpenSymbol" w:cs="OpenSymbol"/>
      </w:rPr>
    </w:lvl>
    <w:lvl w:ilvl="6">
      <w:numFmt w:val="bullet"/>
      <w:suff w:val="tab"/>
      <w:lvlText w:val="•"/>
      <w:lvlJc w:val="left"/>
      <w:pPr>
        <w:ind w:left="2521" w:hanging="0"/>
      </w:pPr>
      <w:rPr>
        <w:rFonts w:ascii="OpenSymbol" w:hAnsi="OpenSymbol" w:eastAsia="OpenSymbol" w:cs="OpenSymbol"/>
      </w:rPr>
    </w:lvl>
    <w:lvl w:ilvl="7">
      <w:numFmt w:val="bullet"/>
      <w:suff w:val="tab"/>
      <w:lvlText w:val="◦"/>
      <w:lvlJc w:val="left"/>
      <w:pPr>
        <w:ind w:left="2881" w:hanging="0"/>
      </w:pPr>
      <w:rPr>
        <w:rFonts w:ascii="OpenSymbol" w:hAnsi="OpenSymbol" w:eastAsia="OpenSymbol" w:cs="OpenSymbol"/>
      </w:rPr>
    </w:lvl>
    <w:lvl w:ilvl="8">
      <w:numFmt w:val="bullet"/>
      <w:suff w:val="tab"/>
      <w:lvlText w:val="▪"/>
      <w:lvlJc w:val="left"/>
      <w:pPr>
        <w:ind w:left="3601" w:hanging="0"/>
      </w:pPr>
      <w:rPr>
        <w:rFonts w:ascii="OpenSymbol" w:hAnsi="OpenSymbol" w:eastAsia="OpenSymbol" w:cs="OpenSymbol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70"/>
  <w:view w:val="print"/>
  <w:defaultTabStop w:val="706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41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538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3607450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Andale Sans UI" w:cs="Tahoma"/>
        <w:kern w:val="1"/>
        <w:sz w:val="24"/>
        <w:szCs w:val="24"/>
        <w:lang w:val="de-de" w:eastAsia="ja-jp" w:bidi="fa-ir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keepNext/>
    </w:pPr>
    <w:rPr>
      <w:rFonts w:ascii="Arial" w:hAnsi="Arial"/>
      <w:sz w:val="28"/>
      <w:szCs w:val="28"/>
    </w:rPr>
  </w:style>
  <w:style w:type="paragraph" w:styleId="para6" w:customStyle="1">
    <w:name w:val="Text body"/>
    <w:qFormat/>
    <w:basedOn w:val="para4"/>
    <w:pPr>
      <w:spacing w:after="120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4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4"/>
  </w:style>
  <w:style w:type="paragraph" w:styleId="para10" w:customStyle="1">
    <w:name w:val="Table Contents"/>
    <w:qFormat/>
    <w:basedOn w:val="para4"/>
  </w:style>
  <w:style w:type="paragraph" w:styleId="para11" w:customStyle="1">
    <w:name w:val="Table Heading"/>
    <w:qFormat/>
    <w:basedOn w:val="para10"/>
    <w:pPr>
      <w:spacing/>
      <w:jc w:val="center"/>
    </w:pPr>
    <w:rPr>
      <w:b/>
      <w:bCs/>
    </w:rPr>
  </w:style>
  <w:style w:type="paragraph" w:styleId="para12">
    <w:name w:val="Footer"/>
    <w:qFormat/>
    <w:basedOn w:val="para0"/>
    <w:pPr>
      <w:tabs defTabSz="706">
        <w:tab w:val="center" w:pos="4819" w:leader="none"/>
        <w:tab w:val="right" w:pos="9638" w:leader="none"/>
      </w:tabs>
    </w:p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Andale Sans UI" w:cs="Tahoma"/>
        <w:kern w:val="1"/>
        <w:sz w:val="24"/>
        <w:szCs w:val="24"/>
        <w:lang w:val="de-de" w:eastAsia="ja-jp" w:bidi="fa-ir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keepNext/>
    </w:pPr>
    <w:rPr>
      <w:rFonts w:ascii="Arial" w:hAnsi="Arial"/>
      <w:sz w:val="28"/>
      <w:szCs w:val="28"/>
    </w:rPr>
  </w:style>
  <w:style w:type="paragraph" w:styleId="para6" w:customStyle="1">
    <w:name w:val="Text body"/>
    <w:qFormat/>
    <w:basedOn w:val="para4"/>
    <w:pPr>
      <w:spacing w:after="120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4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4"/>
  </w:style>
  <w:style w:type="paragraph" w:styleId="para10" w:customStyle="1">
    <w:name w:val="Table Contents"/>
    <w:qFormat/>
    <w:basedOn w:val="para4"/>
  </w:style>
  <w:style w:type="paragraph" w:styleId="para11" w:customStyle="1">
    <w:name w:val="Table Heading"/>
    <w:qFormat/>
    <w:basedOn w:val="para10"/>
    <w:pPr>
      <w:spacing/>
      <w:jc w:val="center"/>
    </w:pPr>
    <w:rPr>
      <w:b/>
      <w:bCs/>
    </w:rPr>
  </w:style>
  <w:style w:type="paragraph" w:styleId="para12">
    <w:name w:val="Footer"/>
    <w:qFormat/>
    <w:basedOn w:val="para0"/>
    <w:pPr>
      <w:tabs defTabSz="706">
        <w:tab w:val="center" w:pos="4819" w:leader="none"/>
        <w:tab w:val="right" w:pos="9638" w:leader="none"/>
      </w:tabs>
    </w:p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ndale Sans UI"/>
        <a:cs typeface="Arial"/>
      </a:majorFont>
      <a:minorFont>
        <a:latin typeface="Times New Roman"/>
        <a:ea typeface="Andale Sans UI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8538</cp:revision>
  <dcterms:created xsi:type="dcterms:W3CDTF">2009-04-16T15:32:02Z</dcterms:created>
  <dcterms:modified xsi:type="dcterms:W3CDTF">2024-12-07T21:37:30Z</dcterms:modified>
</cp:coreProperties>
</file>