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rPr>
          <w:i/>
          <w:iCs/>
        </w:rPr>
      </w:pPr>
      <w:r>
        <w:rPr>
          <w:i/>
          <w:iCs/>
        </w:rPr>
        <w:t>BPF IF = 45MHz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i/>
          <w:iCs/>
          <w:sz w:val="12"/>
          <w:szCs w:val="12"/>
        </w:rPr>
      </w:pPr>
      <w:r>
        <w:rPr>
          <w:i/>
          <w:iCs/>
          <w:sz w:val="12"/>
          <w:szCs w:val="12"/>
        </w:rPr>
        <w:t>Design goals: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Chebyshev, 0.1dB ripple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loaded Q &lt; 10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IL &lt; -2dB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IF rejection &gt; -</w:t>
      </w:r>
      <w:r>
        <w:rPr>
          <w:sz w:val="12"/>
          <w:szCs w:val="12"/>
          <w:lang w:val="en-us"/>
        </w:rPr>
        <w:t>120</w:t>
      </w:r>
      <w:r>
        <w:rPr>
          <w:sz w:val="12"/>
          <w:szCs w:val="12"/>
        </w:rPr>
        <w:t>dB (requires -50dB DBM)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image rejection &gt; -120dB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IMDR &gt; 100dB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2"/>
        <w:tabOrder w:val="0"/>
        <w:jc w:val="left"/>
        <w:tblInd w:w="0" w:type="dxa"/>
        <w:tblW w:w="3918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384"/>
        <w:gridCol w:w="620"/>
        <w:gridCol w:w="671"/>
        <w:gridCol w:w="411"/>
        <w:gridCol w:w="752"/>
        <w:gridCol w:w="449"/>
        <w:gridCol w:w="631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Band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MHz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Δf, MHz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5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L, uH</w:t>
            </w:r>
          </w:p>
        </w:tc>
        <w:tc>
          <w:tcPr>
            <w:tcW w:w="4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IF, dB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Image, dB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1.5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6.5 – 8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</w:t>
            </w:r>
          </w:p>
        </w:tc>
        <w:tc>
          <w:tcPr>
            <w:tcW w:w="75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5.23, T50-6</w:t>
            </w:r>
          </w:p>
        </w:tc>
        <w:tc>
          <w:tcPr>
            <w:tcW w:w="4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&gt; -120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&gt; -120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13.5 – 15.5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3.83, T50-6</w:t>
            </w:r>
          </w:p>
        </w:tc>
        <w:tc>
          <w:tcPr>
            <w:tcW w:w="4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-97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&gt; -120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20 - 23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</w:t>
            </w:r>
          </w:p>
        </w:tc>
        <w:tc>
          <w:tcPr>
            <w:tcW w:w="75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1.78, T50-10</w:t>
            </w:r>
          </w:p>
        </w:tc>
        <w:tc>
          <w:tcPr>
            <w:tcW w:w="4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  <w:lang w:val="en-us"/>
              </w:rPr>
            </w:pPr>
            <w:r>
              <w:rPr>
                <w:sz w:val="12"/>
                <w:szCs w:val="12"/>
                <w:shd w:val="clear" w:fill="ffffff"/>
                <w:lang w:val="en-us"/>
              </w:rPr>
              <w:t>-79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  <w:lang w:val="en-us"/>
              </w:rPr>
            </w:pPr>
            <w:r>
              <w:rPr>
                <w:sz w:val="12"/>
                <w:szCs w:val="12"/>
                <w:shd w:val="clear" w:fill="ffffff"/>
                <w:lang w:val="en-us"/>
              </w:rPr>
              <w:t>&gt; -120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 – 32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1.24, T50-10</w:t>
            </w:r>
          </w:p>
        </w:tc>
        <w:tc>
          <w:tcPr>
            <w:tcW w:w="4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-46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  <w:lang w:val="en-us"/>
              </w:rPr>
            </w:pPr>
            <w:r>
              <w:rPr>
                <w:color w:val="000000"/>
                <w:sz w:val="12"/>
                <w:szCs w:val="12"/>
                <w:lang w:val="en-us"/>
              </w:rPr>
              <w:t>-114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1"/>
        <w:tabOrder w:val="0"/>
        <w:jc w:val="left"/>
        <w:tblInd w:w="0" w:type="dxa"/>
        <w:tblW w:w="6389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384"/>
        <w:gridCol w:w="584"/>
        <w:gridCol w:w="458"/>
        <w:gridCol w:w="458"/>
        <w:gridCol w:w="249"/>
        <w:gridCol w:w="265"/>
        <w:gridCol w:w="281"/>
        <w:gridCol w:w="281"/>
        <w:gridCol w:w="444"/>
        <w:gridCol w:w="620"/>
        <w:gridCol w:w="671"/>
        <w:gridCol w:w="1694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Band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C, pF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C1, pF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C2, pF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MHz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Δf, MHz</w:t>
            </w:r>
          </w:p>
        </w:tc>
        <w:tc>
          <w:tcPr>
            <w:tcW w:w="169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120/135*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160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620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4.6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4.6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  <w:lang w:val="en-us"/>
              </w:rPr>
              <w:t>0.7</w:t>
            </w: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1.5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6.5 – 8</w:t>
            </w:r>
          </w:p>
        </w:tc>
        <w:tc>
          <w:tcPr>
            <w:tcW w:w="169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34t 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5.23uH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36/39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91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270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4.2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4.2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-1.5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13.4 – 15.4</w:t>
            </w:r>
          </w:p>
        </w:tc>
        <w:tc>
          <w:tcPr>
            <w:tcW w:w="169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29t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</w:rPr>
              <w:t xml:space="preserve"> on T50-6, 3.83</w:t>
            </w:r>
            <w:r>
              <w:rPr>
                <w:sz w:val="12"/>
                <w:szCs w:val="12"/>
                <w:lang w:val="en-us"/>
              </w:rPr>
              <w:t>uH</w:t>
            </w:r>
            <w:r>
              <w:rPr>
                <w:sz w:val="12"/>
                <w:szCs w:val="12"/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39/41*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110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240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20 - 23</w:t>
            </w:r>
          </w:p>
        </w:tc>
        <w:tc>
          <w:tcPr>
            <w:tcW w:w="169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22t</w:t>
            </w:r>
            <w:r>
              <w:rPr>
                <w:sz w:val="12"/>
                <w:szCs w:val="12"/>
                <w:lang w:val="en-ca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ca"/>
              </w:rPr>
              <w:t xml:space="preserve"> on T50-10, 1.78</w:t>
            </w:r>
            <w:r>
              <w:rPr>
                <w:sz w:val="12"/>
                <w:szCs w:val="12"/>
                <w:lang w:val="en-us"/>
              </w:rPr>
              <w:t>uH</w:t>
            </w:r>
            <w:r>
              <w:rPr>
                <w:sz w:val="12"/>
                <w:szCs w:val="12"/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30/33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180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4.9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26.4 – 31.3</w:t>
            </w:r>
          </w:p>
        </w:tc>
        <w:tc>
          <w:tcPr>
            <w:tcW w:w="169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50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18t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1.24uH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6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Andale Sans UI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1" w:hanging="0"/>
      </w:pPr>
    </w:lvl>
    <w:lvl w:ilvl="1">
      <w:start w:val="1"/>
      <w:numFmt w:val="none"/>
      <w:suff w:val="tab"/>
      <w:lvlText w:val="%2"/>
      <w:lvlJc w:val="left"/>
      <w:pPr>
        <w:ind w:left="1" w:hanging="0"/>
      </w:pPr>
    </w:lvl>
    <w:lvl w:ilvl="2">
      <w:start w:val="1"/>
      <w:numFmt w:val="none"/>
      <w:suff w:val="tab"/>
      <w:lvlText w:val="%3"/>
      <w:lvlJc w:val="left"/>
      <w:pPr>
        <w:ind w:left="1" w:hanging="0"/>
      </w:pPr>
    </w:lvl>
    <w:lvl w:ilvl="3">
      <w:start w:val="1"/>
      <w:numFmt w:val="none"/>
      <w:suff w:val="tab"/>
      <w:lvlText w:val="%4"/>
      <w:lvlJc w:val="left"/>
      <w:pPr>
        <w:ind w:left="1" w:hanging="0"/>
      </w:pPr>
    </w:lvl>
    <w:lvl w:ilvl="4">
      <w:start w:val="1"/>
      <w:numFmt w:val="none"/>
      <w:suff w:val="tab"/>
      <w:lvlText w:val="%5"/>
      <w:lvlJc w:val="left"/>
      <w:pPr>
        <w:ind w:left="1" w:hanging="0"/>
      </w:pPr>
    </w:lvl>
    <w:lvl w:ilvl="5">
      <w:start w:val="1"/>
      <w:numFmt w:val="none"/>
      <w:suff w:val="tab"/>
      <w:lvlText w:val="%6"/>
      <w:lvlJc w:val="left"/>
      <w:pPr>
        <w:ind w:left="1" w:hanging="0"/>
      </w:pPr>
    </w:lvl>
    <w:lvl w:ilvl="6">
      <w:start w:val="1"/>
      <w:numFmt w:val="none"/>
      <w:suff w:val="tab"/>
      <w:lvlText w:val="%7"/>
      <w:lvlJc w:val="left"/>
      <w:pPr>
        <w:ind w:left="1" w:hanging="0"/>
      </w:pPr>
    </w:lvl>
    <w:lvl w:ilvl="7">
      <w:start w:val="1"/>
      <w:numFmt w:val="none"/>
      <w:suff w:val="tab"/>
      <w:lvlText w:val="%8"/>
      <w:lvlJc w:val="left"/>
      <w:pPr>
        <w:ind w:left="1" w:hanging="0"/>
      </w:pPr>
    </w:lvl>
    <w:lvl w:ilvl="8">
      <w:start w:val="1"/>
      <w:numFmt w:val="none"/>
      <w:suff w:val="tab"/>
      <w:lvlText w:val="%9"/>
      <w:lvlJc w:val="left"/>
      <w:pPr>
        <w:ind w:left="1" w:hanging="0"/>
      </w:pPr>
    </w:lvl>
  </w:abstractNum>
  <w:abstractNum w:abstractNumId="2">
    <w:multiLevelType w:val="hybridMultilevel"/>
    <w:name w:val="L1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3">
    <w:multiLevelType w:val="hybridMultilevel"/>
    <w:name w:val="L2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0"/>
  <w:view w:val="print"/>
  <w:defaultTabStop w:val="706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41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52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7628509" w:val="121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ndale Sans UI"/>
        <a:cs typeface="Arial"/>
      </a:majorFont>
      <a:minorFont>
        <a:latin typeface="Times New Roman"/>
        <a:ea typeface="Andale Sans U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8524</cp:revision>
  <dcterms:created xsi:type="dcterms:W3CDTF">2009-04-16T15:32:02Z</dcterms:created>
  <dcterms:modified xsi:type="dcterms:W3CDTF">2024-09-29T16:48:29Z</dcterms:modified>
</cp:coreProperties>
</file>