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</w:pPr>
      <w:r>
        <w:t>Cohn Crystal Filter Experimental Data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name w:val="Table3"/>
        <w:tabOrder w:val="0"/>
        <w:jc w:val="left"/>
        <w:tblInd w:w="0" w:type="dxa"/>
        <w:tblW w:w="5665" w:type="dxa"/>
        <w:pPr>
          <w:hyphenationLines w:val="1"/>
          <w:tabs defTabSz="720"/>
        </w:pPr>
      </w:tblPr>
      <w:tblGrid>
        <w:gridCol w:w="639"/>
        <w:gridCol w:w="487"/>
        <w:gridCol w:w="721"/>
        <w:gridCol w:w="1091"/>
        <w:gridCol w:w="474"/>
        <w:gridCol w:w="281"/>
        <w:gridCol w:w="281"/>
        <w:gridCol w:w="549"/>
        <w:gridCol w:w="384"/>
        <w:gridCol w:w="758"/>
      </w:tblGrid>
      <w:tr>
        <w:trPr>
          <w:tblHeader w:val="0"/>
          <w:cantSplit w:val="0"/>
          <w:trHeight w:val="0" w:hRule="auto"/>
        </w:trPr>
        <w:tc>
          <w:tcPr>
            <w:tcW w:w="63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>, MHz</w:t>
            </w:r>
          </w:p>
        </w:tc>
        <w:tc>
          <w:tcPr>
            <w:tcW w:w="48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C, pF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kHz</w:t>
            </w:r>
          </w:p>
        </w:tc>
        <w:tc>
          <w:tcPr>
            <w:tcW w:w="109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∆f, MHz</w:t>
            </w:r>
          </w:p>
        </w:tc>
        <w:tc>
          <w:tcPr>
            <w:tcW w:w="47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</w:t>
            </w:r>
            <w:r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 xml:space="preserve">, </w:t>
            </w:r>
            <w:r>
              <w:rPr>
                <w:sz w:val="12"/>
                <w:szCs w:val="12"/>
              </w:rPr>
              <w:t>Ω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</w:t>
            </w:r>
          </w:p>
        </w:tc>
        <w:tc>
          <w:tcPr>
            <w:tcW w:w="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48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82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</w:t>
            </w:r>
          </w:p>
        </w:tc>
        <w:tc>
          <w:tcPr>
            <w:tcW w:w="109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8,996.9 – 8,999.6</w:t>
            </w:r>
          </w:p>
        </w:tc>
        <w:tc>
          <w:tcPr>
            <w:tcW w:w="47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ripples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48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2.1</w:t>
            </w:r>
          </w:p>
        </w:tc>
        <w:tc>
          <w:tcPr>
            <w:tcW w:w="109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8,997.39 – 8,999.49</w:t>
            </w:r>
          </w:p>
        </w:tc>
        <w:tc>
          <w:tcPr>
            <w:tcW w:w="47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3.8</w:t>
            </w:r>
          </w:p>
        </w:tc>
        <w:tc>
          <w:tcPr>
            <w:tcW w:w="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-2.4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reproducable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48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150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1.4</w:t>
            </w:r>
          </w:p>
        </w:tc>
        <w:tc>
          <w:tcPr>
            <w:tcW w:w="109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8,997.26 – 8,998.67</w:t>
            </w:r>
          </w:p>
        </w:tc>
        <w:tc>
          <w:tcPr>
            <w:tcW w:w="47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4.8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3.2</w:t>
            </w:r>
          </w:p>
        </w:tc>
        <w:tc>
          <w:tcPr>
            <w:tcW w:w="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-3.5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48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1.1</w:t>
            </w:r>
          </w:p>
        </w:tc>
        <w:tc>
          <w:tcPr>
            <w:tcW w:w="109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8,997.25 – 8,998.34</w:t>
            </w:r>
          </w:p>
        </w:tc>
        <w:tc>
          <w:tcPr>
            <w:tcW w:w="47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150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2.6</w:t>
            </w:r>
          </w:p>
        </w:tc>
        <w:tc>
          <w:tcPr>
            <w:tcW w:w="5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-5.7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5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name w:val="Table1"/>
        <w:tabOrder w:val="0"/>
        <w:jc w:val="left"/>
        <w:tblInd w:w="0" w:type="dxa"/>
        <w:tblW w:w="4872" w:type="dxa"/>
        <w:pPr>
          <w:hyphenationLines w:val="1"/>
          <w:tabs defTabSz="720"/>
        </w:pPr>
      </w:tblPr>
      <w:tblGrid>
        <w:gridCol w:w="513"/>
        <w:gridCol w:w="404"/>
        <w:gridCol w:w="388"/>
        <w:gridCol w:w="1031"/>
        <w:gridCol w:w="573"/>
        <w:gridCol w:w="230"/>
        <w:gridCol w:w="281"/>
        <w:gridCol w:w="444"/>
        <w:gridCol w:w="384"/>
        <w:gridCol w:w="624"/>
      </w:tblGrid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>, MHz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C, pF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</w:t>
            </w:r>
            <w:r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 xml:space="preserve">, </w:t>
            </w:r>
            <w:r>
              <w:rPr>
                <w:sz w:val="12"/>
                <w:szCs w:val="12"/>
              </w:rPr>
              <w:t>Ω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∆f, MHz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kHz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51/47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9,998.0 – 10,000.9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2.9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smooth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9,997.8 – 10,000.6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2.8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ripples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9,997.7 – 10,000.1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2.4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3.2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8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ripples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9,997.9 – 10,000.6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3.6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-2.9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8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ripples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43/39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9,998.0 – 10,000.8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2.8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3.6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-2.9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8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smooth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0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47/43</w:t>
            </w:r>
          </w:p>
        </w:tc>
        <w:tc>
          <w:tcPr>
            <w:tcW w:w="388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400</w:t>
            </w:r>
          </w:p>
        </w:tc>
        <w:tc>
          <w:tcPr>
            <w:tcW w:w="103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9,997.8 – 9,999.8</w:t>
            </w:r>
          </w:p>
        </w:tc>
        <w:tc>
          <w:tcPr>
            <w:tcW w:w="57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23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-4.4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8</w:t>
            </w:r>
            <w:r>
              <w:rPr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2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4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ripples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name w:val="Table2"/>
        <w:tabOrder w:val="0"/>
        <w:jc w:val="left"/>
        <w:tblInd w:w="0" w:type="dxa"/>
        <w:tblW w:w="1770" w:type="dxa"/>
        <w:pPr>
          <w:hyphenationLines w:val="1"/>
          <w:tabs defTabSz="720"/>
        </w:pPr>
      </w:tblPr>
      <w:tblGrid>
        <w:gridCol w:w="416"/>
        <w:gridCol w:w="721"/>
        <w:gridCol w:w="633"/>
      </w:tblGrid>
      <w:tr>
        <w:trPr>
          <w:tblHeader w:val="0"/>
          <w:cantSplit w:val="0"/>
          <w:trHeight w:val="0" w:hRule="auto"/>
        </w:trPr>
        <w:tc>
          <w:tcPr>
            <w:tcW w:w="41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SSB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BW, kHz</w:t>
            </w:r>
          </w:p>
        </w:tc>
        <w:tc>
          <w:tcPr>
            <w:tcW w:w="63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Sq ratio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Rx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2.2 - 2.5</w:t>
            </w:r>
          </w:p>
        </w:tc>
        <w:tc>
          <w:tcPr>
            <w:tcW w:w="63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1.6 - 2.0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41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Tx</w:t>
            </w:r>
          </w:p>
        </w:tc>
        <w:tc>
          <w:tcPr>
            <w:tcW w:w="72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63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17713849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1.2 - 4.0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eachSect"/>
      </w:endnotePr>
      <w:type w:val="continuous"/>
      <w:pgSz w:h="16841" w:w="11908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Andale Sans UI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0"/>
  <w:view w:val="print"/>
  <w:defaultTabStop w:val="706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eachSect"/>
  </w:endnotePr>
  <w:compat>
    <w:doNotExpandShiftReturn w:val="1"/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41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7713849" w:val="121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tabs defTabSz="706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ind w:left="0" w:right="0" w:firstLine="0"/>
      <w:spacing w:before="0" w:after="0" w:beforeAutospacing="0" w:afterAutospacing="0" w:line="240" w:lineRule="auto"/>
      <w:jc w:val="left"/>
      <w:suppressAutoHyphens/>
      <w:hyphenationLines w:val="0"/>
      <w:pageBreakBefore w:val="0"/>
      <w:keepNext w:val="0"/>
      <w:keepLines w:val="0"/>
      <w:widowControl w:val="0"/>
      <w:bidi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</w:pPr>
    <w:rPr>
      <w:rFonts w:ascii="Arial" w:hAnsi="Arial" w:eastAsia="SimSun" w:cs="Arial"/>
      <w:b/>
      <w:bCs/>
      <w:sz w:val="36"/>
      <w:szCs w:val="36"/>
      <w:lang w:val="en-us"/>
    </w:rPr>
  </w:style>
  <w:style w:type="paragraph" w:styleId="para2">
    <w:name w:val="heading 2"/>
    <w:qFormat/>
    <w:basedOn w:val="para1"/>
    <w:next w:val="para0"/>
    <w:pPr>
      <w:hyphenationLines w:val="1"/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hyphenationLines w:val="1"/>
      <w:outlineLvl w:val="2"/>
    </w:pPr>
    <w:rPr>
      <w:sz w:val="28"/>
      <w:szCs w:val="28"/>
    </w:rPr>
  </w:style>
  <w:style w:type="paragraph" w:styleId="para4" w:customStyle="1">
    <w:name w:val="Standard"/>
    <w:qFormat/>
    <w:basedOn w:val="para0"/>
    <w:pPr>
      <w:suppressAutoHyphens/>
      <w:hyphenationLines w:val="0"/>
    </w:pPr>
    <w:rPr>
      <w:noProof w:val="1"/>
    </w:rPr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Arial" w:hAnsi="Arial" w:eastAsia="Andale Sans UI" w:cs="Tahoma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20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Tahoma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Tahoma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Tahoma"/>
    </w:rPr>
  </w:style>
  <w:style w:type="paragraph" w:styleId="para10" w:customStyle="1">
    <w:name w:val="Table Contents"/>
    <w:qFormat/>
    <w:basedOn w:val="para4"/>
    <w:pPr>
      <w:suppressAutoHyphens/>
      <w:hyphenationLines w:val="0"/>
    </w:pPr>
  </w:style>
  <w:style w:type="paragraph" w:styleId="para11" w:customStyle="1">
    <w:name w:val="Table Heading"/>
    <w:qFormat/>
    <w:basedOn w:val="para10"/>
    <w:pPr>
      <w:spacing/>
      <w:jc w:val="center"/>
      <w:suppressAutoHyphens/>
      <w:hyphenationLines w:val="0"/>
    </w:pPr>
    <w:rPr>
      <w:b/>
      <w:bCs/>
    </w:rPr>
  </w:style>
  <w:style w:type="paragraph" w:styleId="para12">
    <w:name w:val="TOC Heading"/>
    <w:qFormat/>
    <w:basedOn w:val="para5"/>
    <w:pPr>
      <w:ind w:left="0" w:right="0" w:firstLine="0"/>
      <w:suppressAutoHyphens/>
      <w:hyphenationLines w:val="0"/>
    </w:pPr>
    <w:rPr>
      <w:b/>
      <w:bCs/>
      <w:sz w:val="32"/>
      <w:szCs w:val="32"/>
    </w:rPr>
  </w:style>
  <w:style w:type="paragraph" w:styleId="para13" w:customStyle="1">
    <w:name w:val="Addressee"/>
    <w:qFormat/>
    <w:basedOn w:val="para4"/>
    <w:pPr>
      <w:spacing w:before="0" w:after="60"/>
      <w:suppressAutoHyphens/>
      <w:hyphenationLines w:val="0"/>
    </w:pPr>
  </w:style>
  <w:style w:type="paragraph" w:styleId="para14" w:customStyle="1">
    <w:name w:val="Bibliography 1"/>
    <w:qFormat/>
    <w:basedOn w:val="para9"/>
    <w:pPr>
      <w:ind w:left="0" w:right="0" w:firstLine="0"/>
      <w:suppressAutoHyphens/>
      <w:hyphenationLines w:val="0"/>
    </w:pPr>
  </w:style>
  <w:style w:type="paragraph" w:styleId="para15" w:customStyle="1">
    <w:name w:val="Bibliography Heading"/>
    <w:qFormat/>
    <w:basedOn w:val="para5"/>
    <w:pPr>
      <w:ind w:left="0" w:right="0" w:firstLine="0"/>
      <w:suppressAutoHyphens/>
      <w:hyphenationLines w:val="0"/>
    </w:pPr>
    <w:rPr>
      <w:b/>
      <w:bCs/>
      <w:sz w:val="32"/>
      <w:szCs w:val="32"/>
    </w:rPr>
  </w:style>
  <w:style w:type="paragraph" w:styleId="para16" w:customStyle="1">
    <w:name w:val="User Index 1"/>
    <w:qFormat/>
    <w:basedOn w:val="para9"/>
    <w:pPr>
      <w:ind w:left="0" w:right="0" w:firstLine="0"/>
      <w:suppressAutoHyphens/>
      <w:hyphenationLines w:val="0"/>
    </w:pPr>
  </w:style>
  <w:style w:type="character" w:styleId="char0" w:default="1">
    <w:name w:val="Default Paragraph Font"/>
  </w:style>
  <w:style w:type="character" w:styleId="char1" w:customStyle="1">
    <w:name w:val="Numbering Symbol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tabs defTabSz="706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ind w:left="0" w:right="0" w:firstLine="0"/>
      <w:spacing w:before="0" w:after="0" w:beforeAutospacing="0" w:afterAutospacing="0" w:line="240" w:lineRule="auto"/>
      <w:jc w:val="left"/>
      <w:suppressAutoHyphens/>
      <w:hyphenationLines w:val="0"/>
      <w:pageBreakBefore w:val="0"/>
      <w:keepNext w:val="0"/>
      <w:keepLines w:val="0"/>
      <w:widowControl w:val="0"/>
      <w:bidi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</w:pPr>
    <w:rPr>
      <w:rFonts w:ascii="Arial" w:hAnsi="Arial" w:eastAsia="SimSun" w:cs="Arial"/>
      <w:b/>
      <w:bCs/>
      <w:sz w:val="36"/>
      <w:szCs w:val="36"/>
      <w:lang w:val="en-us"/>
    </w:rPr>
  </w:style>
  <w:style w:type="paragraph" w:styleId="para2">
    <w:name w:val="heading 2"/>
    <w:qFormat/>
    <w:basedOn w:val="para1"/>
    <w:next w:val="para0"/>
    <w:pPr>
      <w:hyphenationLines w:val="1"/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hyphenationLines w:val="1"/>
      <w:outlineLvl w:val="2"/>
    </w:pPr>
    <w:rPr>
      <w:sz w:val="28"/>
      <w:szCs w:val="28"/>
    </w:rPr>
  </w:style>
  <w:style w:type="paragraph" w:styleId="para4" w:customStyle="1">
    <w:name w:val="Standard"/>
    <w:qFormat/>
    <w:basedOn w:val="para0"/>
    <w:pPr>
      <w:suppressAutoHyphens/>
      <w:hyphenationLines w:val="0"/>
    </w:pPr>
    <w:rPr>
      <w:noProof w:val="1"/>
    </w:rPr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Arial" w:hAnsi="Arial" w:eastAsia="Andale Sans UI" w:cs="Tahoma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20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Tahoma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Tahoma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Tahoma"/>
    </w:rPr>
  </w:style>
  <w:style w:type="paragraph" w:styleId="para10" w:customStyle="1">
    <w:name w:val="Table Contents"/>
    <w:qFormat/>
    <w:basedOn w:val="para4"/>
    <w:pPr>
      <w:suppressAutoHyphens/>
      <w:hyphenationLines w:val="0"/>
    </w:pPr>
  </w:style>
  <w:style w:type="paragraph" w:styleId="para11" w:customStyle="1">
    <w:name w:val="Table Heading"/>
    <w:qFormat/>
    <w:basedOn w:val="para10"/>
    <w:pPr>
      <w:spacing/>
      <w:jc w:val="center"/>
      <w:suppressAutoHyphens/>
      <w:hyphenationLines w:val="0"/>
    </w:pPr>
    <w:rPr>
      <w:b/>
      <w:bCs/>
    </w:rPr>
  </w:style>
  <w:style w:type="paragraph" w:styleId="para12">
    <w:name w:val="TOC Heading"/>
    <w:qFormat/>
    <w:basedOn w:val="para5"/>
    <w:pPr>
      <w:ind w:left="0" w:right="0" w:firstLine="0"/>
      <w:suppressAutoHyphens/>
      <w:hyphenationLines w:val="0"/>
    </w:pPr>
    <w:rPr>
      <w:b/>
      <w:bCs/>
      <w:sz w:val="32"/>
      <w:szCs w:val="32"/>
    </w:rPr>
  </w:style>
  <w:style w:type="paragraph" w:styleId="para13" w:customStyle="1">
    <w:name w:val="Addressee"/>
    <w:qFormat/>
    <w:basedOn w:val="para4"/>
    <w:pPr>
      <w:spacing w:before="0" w:after="60"/>
      <w:suppressAutoHyphens/>
      <w:hyphenationLines w:val="0"/>
    </w:pPr>
  </w:style>
  <w:style w:type="paragraph" w:styleId="para14" w:customStyle="1">
    <w:name w:val="Bibliography 1"/>
    <w:qFormat/>
    <w:basedOn w:val="para9"/>
    <w:pPr>
      <w:ind w:left="0" w:right="0" w:firstLine="0"/>
      <w:suppressAutoHyphens/>
      <w:hyphenationLines w:val="0"/>
    </w:pPr>
  </w:style>
  <w:style w:type="paragraph" w:styleId="para15" w:customStyle="1">
    <w:name w:val="Bibliography Heading"/>
    <w:qFormat/>
    <w:basedOn w:val="para5"/>
    <w:pPr>
      <w:ind w:left="0" w:right="0" w:firstLine="0"/>
      <w:suppressAutoHyphens/>
      <w:hyphenationLines w:val="0"/>
    </w:pPr>
    <w:rPr>
      <w:b/>
      <w:bCs/>
      <w:sz w:val="32"/>
      <w:szCs w:val="32"/>
    </w:rPr>
  </w:style>
  <w:style w:type="paragraph" w:styleId="para16" w:customStyle="1">
    <w:name w:val="User Index 1"/>
    <w:qFormat/>
    <w:basedOn w:val="para9"/>
    <w:pPr>
      <w:ind w:left="0" w:right="0" w:firstLine="0"/>
      <w:suppressAutoHyphens/>
      <w:hyphenationLines w:val="0"/>
    </w:pPr>
  </w:style>
  <w:style w:type="character" w:styleId="char0" w:default="1">
    <w:name w:val="Default Paragraph Font"/>
  </w:style>
  <w:style w:type="character" w:styleId="char1" w:customStyle="1">
    <w:name w:val="Numbering Symbol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Andale Sans U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2009-04-16T15:32:02Z</dcterms:created>
  <dcterms:modified xsi:type="dcterms:W3CDTF">2024-06-06T22:44:09Z</dcterms:modified>
</cp:coreProperties>
</file>