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Fractal Research Ecosystem – Protocol Patch v1.0</w:t>
      </w:r>
    </w:p>
    <w:p>
      <w:r>
        <w:t>Capability Contract to Workspace/UI Contract</w:t>
      </w:r>
    </w:p>
    <w:p>
      <w:pPr>
        <w:pStyle w:val="Heading2"/>
      </w:pPr>
      <w:r>
        <w:t>Metadata</w:t>
      </w:r>
    </w:p>
    <w:tbl>
      <w:tblPr>
        <w:tblStyle w:val="TableGrid"/>
        <w:tblW w:type="auto" w:w="0"/>
        <w:tblLook w:firstColumn="1" w:firstRow="1" w:lastColumn="0" w:lastRow="0" w:noHBand="0" w:noVBand="1" w:val="04A0"/>
      </w:tblPr>
      <w:tblGrid>
        <w:gridCol w:w="4320"/>
        <w:gridCol w:w="4320"/>
      </w:tblGrid>
      <w:tr>
        <w:tc>
          <w:tcPr>
            <w:tcW w:type="dxa" w:w="4320"/>
          </w:tcPr>
          <w:p>
            <w:r>
              <w:t>Protocol Version</w:t>
            </w:r>
          </w:p>
        </w:tc>
        <w:tc>
          <w:tcPr>
            <w:tcW w:type="dxa" w:w="4320"/>
          </w:tcPr>
          <w:p>
            <w:r>
              <w:t>v1.0</w:t>
            </w:r>
          </w:p>
        </w:tc>
      </w:tr>
      <w:tr>
        <w:tc>
          <w:tcPr>
            <w:tcW w:type="dxa" w:w="4320"/>
          </w:tcPr>
          <w:p>
            <w:r>
              <w:t>Date</w:t>
            </w:r>
          </w:p>
        </w:tc>
        <w:tc>
          <w:tcPr>
            <w:tcW w:type="dxa" w:w="4320"/>
          </w:tcPr>
          <w:p>
            <w:r>
              <w:t>2026-07-23</w:t>
            </w:r>
          </w:p>
        </w:tc>
      </w:tr>
      <w:tr>
        <w:tc>
          <w:tcPr>
            <w:tcW w:type="dxa" w:w="4320"/>
          </w:tcPr>
          <w:p>
            <w:r>
              <w:t>Topic</w:t>
            </w:r>
          </w:p>
        </w:tc>
        <w:tc>
          <w:tcPr>
            <w:tcW w:type="dxa" w:w="4320"/>
          </w:tcPr>
          <w:p>
            <w:r>
              <w:t>Capability Contract to Workspace/UI Contract</w:t>
            </w:r>
          </w:p>
        </w:tc>
      </w:tr>
      <w:tr>
        <w:tc>
          <w:tcPr>
            <w:tcW w:type="dxa" w:w="4320"/>
          </w:tcPr>
          <w:p>
            <w:r>
              <w:t>Parent Protocol</w:t>
            </w:r>
          </w:p>
        </w:tc>
        <w:tc>
          <w:tcPr>
            <w:tcW w:type="dxa" w:w="4320"/>
          </w:tcPr>
          <w:p>
            <w:r>
              <w:t>v0.9</w:t>
            </w:r>
          </w:p>
        </w:tc>
      </w:tr>
      <w:tr>
        <w:tc>
          <w:tcPr>
            <w:tcW w:type="dxa" w:w="4320"/>
          </w:tcPr>
          <w:p>
            <w:r>
              <w:t>Status</w:t>
            </w:r>
          </w:p>
        </w:tc>
        <w:tc>
          <w:tcPr>
            <w:tcW w:type="dxa" w:w="4320"/>
          </w:tcPr>
          <w:p>
            <w:r>
              <w:t>Draft</w:t>
            </w:r>
          </w:p>
        </w:tc>
      </w:tr>
      <w:tr>
        <w:tc>
          <w:tcPr>
            <w:tcW w:type="dxa" w:w="4320"/>
          </w:tcPr>
          <w:p>
            <w:r>
              <w:t>Prepared By</w:t>
            </w:r>
          </w:p>
        </w:tc>
        <w:tc>
          <w:tcPr>
            <w:tcW w:type="dxa" w:w="4320"/>
          </w:tcPr>
          <w:p>
            <w:r>
              <w:t>ChatGPT</w:t>
            </w:r>
          </w:p>
        </w:tc>
      </w:tr>
      <w:tr>
        <w:tc>
          <w:tcPr>
            <w:tcW w:type="dxa" w:w="4320"/>
          </w:tcPr>
          <w:p>
            <w:r>
              <w:t>Reviewed By</w:t>
            </w:r>
          </w:p>
        </w:tc>
        <w:tc>
          <w:tcPr>
            <w:tcW w:type="dxa" w:w="4320"/>
          </w:tcPr>
          <w:p>
            <w:r>
              <w:t>Max</w:t>
            </w:r>
          </w:p>
        </w:tc>
      </w:tr>
      <w:tr>
        <w:tc>
          <w:tcPr>
            <w:tcW w:type="dxa" w:w="4320"/>
          </w:tcPr>
          <w:p>
            <w:r>
              <w:t>Discussion Range</w:t>
            </w:r>
          </w:p>
        </w:tc>
        <w:tc>
          <w:tcPr>
            <w:tcW w:type="dxa" w:w="4320"/>
          </w:tcPr>
          <w:p>
            <w:r>
              <w:t>Since v0.9</w:t>
            </w:r>
          </w:p>
        </w:tc>
      </w:tr>
    </w:tbl>
    <w:p>
      <w:pPr>
        <w:pStyle w:val="Heading2"/>
      </w:pPr>
      <w:r>
        <w:t>1. Context</w:t>
      </w:r>
    </w:p>
    <w:p>
      <w:r>
        <w:t>After Protocol v0.9 established two fundamental shell classes - Galaxy Shells and Operator Shells - the discussion moved deeper into the Operator Shell's capability contract. The goal was to identify the smallest set of shell-level requirements without prematurely specifying the internal behaviour of plug-ins. This led to a clearer separation between the capability layer and the user-interface/workspace layer.</w:t>
      </w:r>
    </w:p>
    <w:p>
      <w:pPr>
        <w:pStyle w:val="Heading2"/>
      </w:pPr>
      <w:r>
        <w:t>2. Questions Investigated</w:t>
      </w:r>
    </w:p>
    <w:p>
      <w:r>
        <w:t>• What belongs in a complete capability contract?</w:t>
        <w:br/>
        <w:t>• Which elements are essential at shell level, and which belong inside plug-ins?</w:t>
        <w:br/>
        <w:t>• Does interactiveness need to be declared by the shell?</w:t>
        <w:br/>
        <w:t>• Does configuration include creation, deletion or physical interaction?</w:t>
        <w:br/>
        <w:t>• How should Galaxy Shells and Operator Shells appear and behave in the main UI?</w:t>
        <w:br/>
        <w:t>• Is a separate Workspace Contract required?</w:t>
      </w:r>
    </w:p>
    <w:p>
      <w:pPr>
        <w:pStyle w:val="Heading2"/>
      </w:pPr>
      <w:r>
        <w:t>3. Human Input (Max)</w:t>
      </w:r>
    </w:p>
    <w:p>
      <w:r>
        <w:rPr>
          <w:b/>
          <w:color w:val="007800"/>
        </w:rPr>
        <w:t xml:space="preserve">Human (Max): </w:t>
      </w:r>
      <w:r>
        <w:t>Proposed an iterative method for defining the capability contract: begin with the smallest candidate and add fields only until confidence that each addition is essential begins to fall. Initial levels were defined as: Level 1 = Operator, Name, Inputs, Outputs, Execute(); Level 2 adds Configuration. Max challenged whether interactiveness was actually a shell-level concern and clarified that text editing, playback and similar behaviour belong to plug-ins. He then shifted the discussion toward the UI required to make the shell meaningful to users: the main experience is an open 3D canvas containing Galaxy Shells and Operator Shells; both are created, positioned and opened inside that workspace. Galaxy Shells open into another recursive space, while Operator Shells open into the world/interface of the attached plug-in.</w:t>
      </w:r>
    </w:p>
    <w:p>
      <w:pPr>
        <w:pStyle w:val="Heading2"/>
      </w:pPr>
      <w:r>
        <w:t>4. AI Input</w:t>
      </w:r>
    </w:p>
    <w:p>
      <w:r>
        <w:rPr>
          <w:b/>
          <w:color w:val="0046A0"/>
        </w:rPr>
        <w:t xml:space="preserve">AI: </w:t>
      </w:r>
      <w:r>
        <w:t>Initially proposed a broader capability contract including identity, inputs, outputs, configuration, actions, state, permissions, execution environment, provenance and failure behaviour. After Max's correction, the AI accepted that interactiveness is not inherently part of the shell contract and that plug-in behaviour should not be confused with shell behaviour. The AI then separated four architectural layers: storage, capability, workspace and interaction. It proposed that creation, placement, movement, renaming and deletion belong to the Workspace rather than Configuration, and that Open is a universal user action whose outcome depends on shell type.</w:t>
      </w:r>
    </w:p>
    <w:p>
      <w:pPr>
        <w:pStyle w:val="Heading2"/>
      </w:pPr>
      <w:r>
        <w:t>5. Jointly Derived Conclusions</w:t>
      </w:r>
    </w:p>
    <w:p>
      <w:r>
        <w:t>1. The Capability Contract should remain minimal and be extended only when implementation exposes an essential missing requirement.</w:t>
        <w:br/>
        <w:br/>
        <w:t>2. Plug-in interactiveness is not currently part of the shell contract. A text editor, video player or regression tool may behave differently internally without changing the Operator Shell abstraction.</w:t>
        <w:br/>
        <w:br/>
        <w:t>3. Configuration describes the plug-in/operator setup; it does not describe workspace actions such as creating, moving or deleting shells.</w:t>
        <w:br/>
        <w:br/>
        <w:t>4. The main user interface is a 3D Workspace. The Workspace owns shell creation, placement, selection, movement, renaming, deletion and opening.</w:t>
        <w:br/>
        <w:br/>
        <w:t>5. Both shell classes share one universal Open interaction:</w:t>
        <w:br/>
        <w:t>• Galaxy Shell -&gt; opens another recursive Workspace.</w:t>
        <w:br/>
        <w:t>• Operator Shell -&gt; opens the attached plug-in interface or capability world.</w:t>
        <w:br/>
        <w:br/>
        <w:t>6. The wormhole transition is the visual representation of Open, accessible through double-click, menu action or scroll-threshold navigation.</w:t>
      </w:r>
    </w:p>
    <w:p>
      <w:pPr>
        <w:pStyle w:val="Heading2"/>
      </w:pPr>
      <w:r>
        <w:t>6. Current Architectural Decisions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Decision</w:t>
            </w:r>
          </w:p>
        </w:tc>
        <w:tc>
          <w:tcPr>
            <w:tcW w:type="dxa" w:w="1728"/>
          </w:tcPr>
          <w:p>
            <w:r>
              <w:t>Status</w:t>
            </w:r>
          </w:p>
        </w:tc>
        <w:tc>
          <w:tcPr>
            <w:tcW w:type="dxa" w:w="1728"/>
          </w:tcPr>
          <w:p>
            <w:r>
              <w:t>Confidence</w:t>
            </w:r>
          </w:p>
        </w:tc>
        <w:tc>
          <w:tcPr>
            <w:tcW w:type="dxa" w:w="1728"/>
          </w:tcPr>
          <w:p>
            <w:r>
              <w:t>Revision Trigger</w:t>
            </w:r>
          </w:p>
        </w:tc>
      </w:tr>
      <w:tr>
        <w:tc>
          <w:tcPr>
            <w:tcW w:type="dxa" w:w="1728"/>
          </w:tcPr>
          <w:p>
            <w:r>
              <w:t>D-007</w:t>
            </w:r>
          </w:p>
        </w:tc>
        <w:tc>
          <w:tcPr>
            <w:tcW w:type="dxa" w:w="1728"/>
          </w:tcPr>
          <w:p>
            <w:r>
              <w:t>Separate Capability Contract from Workspace/UI Contract</w:t>
            </w:r>
          </w:p>
        </w:tc>
        <w:tc>
          <w:tcPr>
            <w:tcW w:type="dxa" w:w="1728"/>
          </w:tcPr>
          <w:p>
            <w:r>
              <w:t>Working Decision</w:t>
            </w:r>
          </w:p>
        </w:tc>
        <w:tc>
          <w:tcPr>
            <w:tcW w:type="dxa" w:w="1728"/>
          </w:tcPr>
          <w:p>
            <w:r>
              <w:t>High</w:t>
            </w:r>
          </w:p>
        </w:tc>
        <w:tc>
          <w:tcPr>
            <w:tcW w:type="dxa" w:w="1728"/>
          </w:tcPr>
          <w:p>
            <w:r>
              <w:t>Revise if implementation proves workspace actions must be declared by each shell.</w:t>
            </w:r>
          </w:p>
        </w:tc>
      </w:tr>
    </w:tbl>
    <w:p>
      <w:pPr>
        <w:pStyle w:val="Heading2"/>
      </w:pPr>
      <w:r>
        <w:t>7. Alternatives Considered</w:t>
      </w:r>
    </w:p>
    <w:p>
      <w:r>
        <w:t>• Treat interactiveness as an explicit Operator Contract field. Rejected for now because it describes plug-in behaviour rather than shell behaviour.</w:t>
        <w:br/>
        <w:t>• Replace Execute() with Open(). Deferred because Execute() belongs to the capability contract while Open belongs to the Workspace interaction layer.</w:t>
        <w:br/>
        <w:t>• Let Configuration include shell creation and deletion. Rejected because those are workspace-level operations.</w:t>
        <w:br/>
        <w:t>• Fix Operator Shells visually as 3D boxes. Deferred; only their required interactions are currently defined.</w:t>
      </w:r>
    </w:p>
    <w:p>
      <w:pPr>
        <w:pStyle w:val="Heading2"/>
      </w:pPr>
      <w:r>
        <w:t>8. Assumptions</w:t>
      </w:r>
    </w:p>
    <w:p>
      <w:r>
        <w:t>• A shell can host plug-ins with very different internal interaction models.</w:t>
        <w:br/>
        <w:t>• The Workspace can provide a consistent outer interaction layer across all shell types.</w:t>
        <w:br/>
        <w:t>• Visual representation can evolve independently from shell semantics.</w:t>
        <w:br/>
        <w:t>• Recursive navigation remains the primary metaphor for entering deeper information structures.</w:t>
      </w:r>
    </w:p>
    <w:p>
      <w:pPr>
        <w:pStyle w:val="Heading2"/>
      </w:pPr>
      <w:r>
        <w:t>9. Architectural Consequences</w:t>
      </w:r>
    </w:p>
    <w:p>
      <w:r>
        <w:t>The architecture now separates four concerns:</w:t>
        <w:br/>
        <w:t>1. Storage layer - identities, references, history and persistence.</w:t>
        <w:br/>
        <w:t>2. Capability layer - plug-ins, inputs, outputs, execution and configuration.</w:t>
        <w:br/>
        <w:t>3. Workspace layer - creation, placement, movement, deletion and organization of shells.</w:t>
        <w:br/>
        <w:t>4. Interaction layer - opening, closing, zooming and navigation.</w:t>
        <w:br/>
        <w:br/>
        <w:t>This separation reduces conceptual mixing and suggests a new formal object: the Workspace Contract.</w:t>
      </w:r>
    </w:p>
    <w:p>
      <w:pPr>
        <w:pStyle w:val="Heading2"/>
      </w:pPr>
      <w:r>
        <w:t>10. Decision Ledger Changes</w:t>
      </w:r>
    </w:p>
    <w:p>
      <w:r>
        <w:t>Added D-007: Capability Contract and Workspace/UI Contract are distinct architectural concerns. The current capability contract remains deliberately minimal, while workspace actions are governed separately.</w:t>
      </w:r>
    </w:p>
    <w:p>
      <w:pPr>
        <w:pStyle w:val="Heading2"/>
      </w:pPr>
      <w:r>
        <w:t>11. Open Questions (TBD)</w:t>
      </w:r>
    </w:p>
    <w:p>
      <w:r>
        <w:t>• What is the minimum Workspace Contract?</w:t>
        <w:br/>
        <w:t>• Which actions must every shell support in the Workspace?</w:t>
        <w:br/>
        <w:t>• How should selection, focus, resize and connection be represented?</w:t>
        <w:br/>
        <w:t>• Should Execute() remain part of the minimal capability contract, or become a plug-in action discovered later?</w:t>
        <w:br/>
        <w:t>• What persistent state must the Workspace save to restore the exact user environment?</w:t>
      </w:r>
    </w:p>
    <w:p>
      <w:pPr>
        <w:pStyle w:val="Heading2"/>
      </w:pPr>
      <w:r>
        <w:t>12. Next Line of Research</w:t>
      </w:r>
    </w:p>
    <w:p>
      <w:r>
        <w:t>Define the Workspace Contract by reducing the long-term UI vision to the smallest set of universal interactions required for both Galaxy Shells and Operator Shells.</w:t>
      </w:r>
    </w:p>
    <w:p>
      <w:pPr>
        <w:pStyle w:val="Heading2"/>
      </w:pPr>
      <w:r>
        <w:t>Protocol Rules</w:t>
      </w:r>
    </w:p>
    <w:p>
      <w:r>
        <w:t>• Keep this structure unchanged.</w:t>
        <w:br/>
        <w:t>• Separate Human and AI contributions.</w:t>
        <w:br/>
        <w:t>• Do not convert hypotheses into decisions.</w:t>
        <w:br/>
        <w:t>• Explicitly list unresolved questions.</w:t>
        <w:br/>
        <w:t>• Preserve architectural reasoning.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