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Research Ecosystem – Protocol Patch v0.2</w:t>
      </w:r>
    </w:p>
    <w:p>
      <w:r>
        <w:t>This document is an addendum to Protocol v0.1. It records the architectural revisions reached after the original protocol and preserves the reasoning behind them.</w:t>
      </w:r>
    </w:p>
    <w:p>
      <w:pPr>
        <w:pStyle w:val="Heading2"/>
      </w:pPr>
      <w:r>
        <w:t>Core Revision</w:t>
      </w:r>
    </w:p>
    <w:p>
      <w:r>
        <w:t>There is only one universal research architecture. Private and public are visibility states over the same node system.</w:t>
      </w:r>
    </w:p>
    <w:p>
      <w:pPr>
        <w:pStyle w:val="Heading2"/>
      </w:pPr>
      <w:r>
        <w:t>Unified Framework</w:t>
      </w:r>
    </w:p>
    <w:p>
      <w:r>
        <w:t>Every engine, node, path, reasoning protocol and workbench behaves identically whether the work is private or published.</w:t>
      </w:r>
    </w:p>
    <w:p>
      <w:pPr>
        <w:pStyle w:val="Heading2"/>
      </w:pPr>
      <w:r>
        <w:t>Publication</w:t>
      </w:r>
    </w:p>
    <w:p>
      <w:r>
        <w:t>Publishing changes discoverability, not structure. Researchers never convert work into a different format.</w:t>
      </w:r>
    </w:p>
    <w:p>
      <w:pPr>
        <w:pStyle w:val="Heading2"/>
      </w:pPr>
      <w:r>
        <w:t>Import Workflow</w:t>
      </w:r>
    </w:p>
    <w:p>
      <w:r>
        <w:t>Researchers browse the public universe, navigate to the desired level, and import nodes or bounded subgraphs into their private workspace.</w:t>
      </w:r>
    </w:p>
    <w:p>
      <w:pPr>
        <w:pStyle w:val="Heading2"/>
      </w:pPr>
      <w:r>
        <w:t>Shared Shell</w:t>
      </w:r>
    </w:p>
    <w:p>
      <w:r>
        <w:t>The shell coordinates identities, provenance, versions, lineage, imports and inferred connections.</w:t>
      </w:r>
    </w:p>
    <w:p>
      <w:pPr>
        <w:pStyle w:val="Heading2"/>
      </w:pPr>
      <w:r>
        <w:t>Inferred Connections</w:t>
      </w:r>
    </w:p>
    <w:p>
      <w:r>
        <w:t>The system may suggest hidden relationships but must distinguish suggestions from researcher-created links.</w:t>
      </w:r>
    </w:p>
    <w:p>
      <w:pPr>
        <w:pStyle w:val="Heading2"/>
      </w:pPr>
      <w:r>
        <w:t>Horizon 3</w:t>
      </w:r>
    </w:p>
    <w:p>
      <w:r>
        <w:t>Millions of private universes coexist under one framework. Published objects form the public universe; visibility is handled separately from publication.</w:t>
      </w:r>
    </w:p>
    <w:p>
      <w:pPr>
        <w:pStyle w:val="Heading2"/>
      </w:pPr>
      <w:r>
        <w:t>Guiding Principles</w:t>
      </w:r>
    </w:p>
    <w:p>
      <w:r>
        <w:t>One framework of work.</w:t>
        <w:br/>
        <w:t>Visibility ≠ existence.</w:t>
        <w:br/>
        <w:t>Publication ≠ prominence.</w:t>
        <w:br/>
        <w:t>Import rather than rebuild.</w:t>
        <w:br/>
        <w:t>One recursive language of reasoning.</w:t>
      </w:r>
    </w:p>
    <w:p>
      <w:pPr>
        <w:pStyle w:val="Heading2"/>
      </w:pPr>
      <w:r>
        <w:t>Open Questions</w:t>
      </w:r>
    </w:p>
    <w:p>
      <w:r>
        <w:t>Import depth; reference vs snapshot vs fork; inferred-link UX; future visibility algorithm; collaboration and syncing.</w:t>
      </w:r>
    </w:p>
    <w:p>
      <w:pPr>
        <w:pStyle w:val="Heading2"/>
      </w:pPr>
      <w:r>
        <w:t>Impact</w:t>
      </w:r>
    </w:p>
    <w:p>
      <w:r>
        <w:t>Milestones M0–M8 remain valid. This revision simplifies the long-term architecture without changing the short-term implementation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