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Fractal Research Ecosystem – Protocol Patch v0.5</w:t>
      </w:r>
    </w:p>
    <w:p>
      <w:r>
        <w:t>This patch continues the architectural exploration following Patch v0.4. It captures the discussion about the root galaxy, universal shells, the meaning of space, operating-system analogies, and hashing.</w:t>
      </w:r>
    </w:p>
    <w:p>
      <w:pPr>
        <w:pStyle w:val="Heading2"/>
      </w:pPr>
      <w:r>
        <w:t>1. Root Galaxy</w:t>
      </w:r>
    </w:p>
    <w:p>
      <w:r>
        <w:rPr>
          <w:b/>
          <w:color w:val="007800"/>
        </w:rPr>
        <w:t xml:space="preserve">Human (Max): </w:t>
      </w:r>
      <w:r>
        <w:t>The root galaxy may later become the application's entry stage. It could contain login, user identity and project selection. Instead of a conventional file browser, users would navigate a 3D field of galaxies representing their personal research universes. Initially this remains an unlocked placeholder or start animation.</w:t>
      </w:r>
    </w:p>
    <w:p>
      <w:r>
        <w:rPr>
          <w:b/>
          <w:color w:val="0046A0"/>
        </w:rPr>
        <w:t xml:space="preserve">AI: </w:t>
      </w:r>
      <w:r>
        <w:t>The proposal was interpreted as elevating the root galaxy from a decorative splash screen to a first-class architectural object. The project-selection screen itself could become another Fractal space rather than a separate interface.</w:t>
      </w:r>
    </w:p>
    <w:p>
      <w:pPr>
        <w:pStyle w:val="Heading2"/>
      </w:pPr>
      <w:r>
        <w:t>2. Universal Shells</w:t>
      </w:r>
    </w:p>
    <w:p>
      <w:r>
        <w:rPr>
          <w:b/>
          <w:color w:val="007800"/>
        </w:rPr>
        <w:t xml:space="preserve">Human (Max): </w:t>
      </w:r>
      <w:r>
        <w:t>The preferred direction is that every object should initially be identical if technically possible. Objects begin as empty shells and acquire meaning only through the content or capabilities later attached to them.</w:t>
      </w:r>
    </w:p>
    <w:p>
      <w:r>
        <w:rPr>
          <w:b/>
          <w:color w:val="0046A0"/>
        </w:rPr>
        <w:t xml:space="preserve">AI: </w:t>
      </w:r>
      <w:r>
        <w:t>The AI suggested extending this idea further: instead of many specialised object types, objects could receive capabilities or packages. For example, attaching a text package creates a text editor, while attaching a statistics package creates a statistical workspace.</w:t>
      </w:r>
    </w:p>
    <w:p>
      <w:pPr>
        <w:pStyle w:val="Heading2"/>
      </w:pPr>
      <w:r>
        <w:t>3. Meaning of Space</w:t>
      </w:r>
    </w:p>
    <w:p>
      <w:r>
        <w:rPr>
          <w:b/>
          <w:color w:val="007800"/>
        </w:rPr>
        <w:t xml:space="preserve">Human (Max): </w:t>
      </w:r>
      <w:r>
        <w:t>Spatial position should intentionally have no semantic meaning for now. The team prefers to postpone assigning meaning until experience with the prototype suggests whether spatial semantics are useful.</w:t>
      </w:r>
    </w:p>
    <w:p>
      <w:r>
        <w:rPr>
          <w:b/>
          <w:color w:val="0046A0"/>
        </w:rPr>
        <w:t xml:space="preserve">AI: </w:t>
      </w:r>
      <w:r>
        <w:t>The AI agreed this prevents premature architectural commitments and keeps space as a purely visual arrangement during the early stages.</w:t>
      </w:r>
    </w:p>
    <w:p>
      <w:pPr>
        <w:pStyle w:val="Heading2"/>
      </w:pPr>
      <w:r>
        <w:t>4. Containers versus Operators</w:t>
      </w:r>
    </w:p>
    <w:p>
      <w:r>
        <w:rPr>
          <w:b/>
          <w:color w:val="007800"/>
        </w:rPr>
        <w:t xml:space="preserve">Human (Max): </w:t>
      </w:r>
      <w:r>
        <w:t>A new architectural question emerged. Galaxies appear conceptually similar to folders, while analytical tools resemble applications. Research universes contain both nested containers and executable analytical components.</w:t>
      </w:r>
    </w:p>
    <w:p>
      <w:r>
        <w:rPr>
          <w:b/>
          <w:color w:val="0046A0"/>
        </w:rPr>
        <w:t xml:space="preserve">AI: </w:t>
      </w:r>
      <w:r>
        <w:t>The AI suggested investigating whether this distinction can still be represented by one universal object plus attachable capabilities before introducing two fundamentally different shell types.</w:t>
      </w:r>
    </w:p>
    <w:p>
      <w:pPr>
        <w:pStyle w:val="Heading2"/>
      </w:pPr>
      <w:r>
        <w:t>5. Persistence</w:t>
      </w:r>
    </w:p>
    <w:p>
      <w:r>
        <w:rPr>
          <w:b/>
          <w:color w:val="007800"/>
        </w:rPr>
        <w:t xml:space="preserve">Human (Max): </w:t>
      </w:r>
      <w:r>
        <w:t>No architectural decision was made. More understanding is required before defining how persistence should work.</w:t>
      </w:r>
    </w:p>
    <w:p>
      <w:r>
        <w:rPr>
          <w:b/>
          <w:color w:val="0046A0"/>
        </w:rPr>
        <w:t xml:space="preserve">AI: </w:t>
      </w:r>
      <w:r>
        <w:t>The AI recommended postponing this decision until the architectural primitives become clearer.</w:t>
      </w:r>
    </w:p>
    <w:p>
      <w:pPr>
        <w:pStyle w:val="Heading2"/>
      </w:pPr>
      <w:r>
        <w:t>6. Hashing and Provenance</w:t>
      </w:r>
    </w:p>
    <w:p>
      <w:r>
        <w:rPr>
          <w:b/>
          <w:color w:val="007800"/>
        </w:rPr>
        <w:t xml:space="preserve">Human (Max): </w:t>
      </w:r>
      <w:r>
        <w:t>Hashing appears capable of creating real value and deserves a dedicated architectural discussion.</w:t>
      </w:r>
    </w:p>
    <w:p>
      <w:r>
        <w:rPr>
          <w:b/>
          <w:color w:val="0046A0"/>
        </w:rPr>
        <w:t xml:space="preserve">AI: </w:t>
      </w:r>
      <w:r>
        <w:t>The AI proposed investigating ideas from Git, Merkle trees, content-addressable storage, cryptographic signatures and event sourcing rather than adopting a blockchain directly.</w:t>
      </w:r>
    </w:p>
    <w:p>
      <w:pPr>
        <w:pStyle w:val="Heading2"/>
      </w:pPr>
      <w:r>
        <w:t>Emerging Insight</w:t>
      </w:r>
    </w:p>
    <w:p>
      <w:r>
        <w:t>Both participants observed that the project increasingly resembles an operating system for knowledge rather than a traditional research application. The long-term goal is not to imitate macOS or Windows visually, but to provide an operating system whose native objects are information, reasoning, methods and provenance instead of files and applications.</w:t>
      </w:r>
    </w:p>
    <w:p>
      <w:pPr>
        <w:pStyle w:val="Heading2"/>
      </w:pPr>
      <w:r>
        <w:t>Status</w:t>
      </w:r>
    </w:p>
    <w:p>
      <w:r>
        <w:t>The architecture remains intentionally under active discovery. No implementation decisions were made in this discussion. The objective remains to identify the smallest possible set of universal primitives before software implementation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