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4D23" w14:textId="77777777" w:rsidR="00D33367" w:rsidRDefault="00000000">
      <w:pPr>
        <w:jc w:val="center"/>
      </w:pPr>
      <w:r>
        <w:rPr>
          <w:b/>
          <w:color w:val="1E2D46"/>
          <w:sz w:val="36"/>
        </w:rPr>
        <w:t>FRACTAL RESEARCH ECOSYSTEM</w:t>
      </w:r>
    </w:p>
    <w:p w14:paraId="1CB0F861" w14:textId="77777777" w:rsidR="00D33367" w:rsidRDefault="00000000">
      <w:pPr>
        <w:jc w:val="center"/>
      </w:pPr>
      <w:r>
        <w:rPr>
          <w:b/>
          <w:color w:val="115C73"/>
          <w:sz w:val="48"/>
        </w:rPr>
        <w:t>Protocol Patch v0.7</w:t>
      </w:r>
    </w:p>
    <w:p w14:paraId="4C3571B6" w14:textId="77777777" w:rsidR="00D33367" w:rsidRDefault="00000000">
      <w:pPr>
        <w:jc w:val="center"/>
      </w:pPr>
      <w:r>
        <w:rPr>
          <w:i/>
          <w:sz w:val="22"/>
        </w:rPr>
        <w:t>Web portability, multiple-parent objects, universal shells, and professional plug-in integration</w:t>
      </w:r>
    </w:p>
    <w:p w14:paraId="3958301B" w14:textId="77777777" w:rsidR="00D33367" w:rsidRDefault="00D33367"/>
    <w:tbl>
      <w:tblPr>
        <w:tblStyle w:val="TableGrid"/>
        <w:tblW w:w="0" w:type="auto"/>
        <w:tblLook w:val="04A0" w:firstRow="1" w:lastRow="0" w:firstColumn="1" w:lastColumn="0" w:noHBand="0" w:noVBand="1"/>
      </w:tblPr>
      <w:tblGrid>
        <w:gridCol w:w="5040"/>
        <w:gridCol w:w="5040"/>
      </w:tblGrid>
      <w:tr w:rsidR="00D33367" w14:paraId="6C79ACE6" w14:textId="77777777">
        <w:tc>
          <w:tcPr>
            <w:tcW w:w="5040" w:type="dxa"/>
            <w:shd w:val="clear" w:color="auto" w:fill="D9EAD3"/>
          </w:tcPr>
          <w:p w14:paraId="073A3F3F" w14:textId="77777777" w:rsidR="00D33367" w:rsidRDefault="00000000">
            <w:r>
              <w:rPr>
                <w:b/>
              </w:rPr>
              <w:t>Scope</w:t>
            </w:r>
          </w:p>
        </w:tc>
        <w:tc>
          <w:tcPr>
            <w:tcW w:w="5040" w:type="dxa"/>
            <w:shd w:val="clear" w:color="auto" w:fill="DDEBF7"/>
          </w:tcPr>
          <w:p w14:paraId="609919A5" w14:textId="77777777" w:rsidR="00D33367" w:rsidRDefault="00000000">
            <w:r>
              <w:t>Discussion since Protocol Patch v0.6</w:t>
            </w:r>
          </w:p>
        </w:tc>
      </w:tr>
      <w:tr w:rsidR="00D33367" w14:paraId="32A9E288" w14:textId="77777777">
        <w:tc>
          <w:tcPr>
            <w:tcW w:w="5040" w:type="dxa"/>
            <w:shd w:val="clear" w:color="auto" w:fill="D9EAD3"/>
          </w:tcPr>
          <w:p w14:paraId="12EAEB38" w14:textId="77777777" w:rsidR="00D33367" w:rsidRDefault="00000000">
            <w:r>
              <w:rPr>
                <w:b/>
              </w:rPr>
              <w:t>Status</w:t>
            </w:r>
          </w:p>
        </w:tc>
        <w:tc>
          <w:tcPr>
            <w:tcW w:w="5040" w:type="dxa"/>
            <w:shd w:val="clear" w:color="auto" w:fill="DDEBF7"/>
          </w:tcPr>
          <w:p w14:paraId="594E79F7" w14:textId="77777777" w:rsidR="00D33367" w:rsidRDefault="00000000">
            <w:r>
              <w:t>Working architecture; implementation not yet started</w:t>
            </w:r>
          </w:p>
        </w:tc>
      </w:tr>
      <w:tr w:rsidR="00D33367" w14:paraId="24D523A5" w14:textId="77777777">
        <w:tc>
          <w:tcPr>
            <w:tcW w:w="5040" w:type="dxa"/>
            <w:shd w:val="clear" w:color="auto" w:fill="D9EAD3"/>
          </w:tcPr>
          <w:p w14:paraId="3A64412A" w14:textId="77777777" w:rsidR="00D33367" w:rsidRDefault="00000000">
            <w:r>
              <w:rPr>
                <w:b/>
              </w:rPr>
              <w:t>Human contribution color</w:t>
            </w:r>
          </w:p>
        </w:tc>
        <w:tc>
          <w:tcPr>
            <w:tcW w:w="5040" w:type="dxa"/>
            <w:shd w:val="clear" w:color="auto" w:fill="DDEBF7"/>
          </w:tcPr>
          <w:p w14:paraId="3324C638" w14:textId="77777777" w:rsidR="00D33367" w:rsidRDefault="00000000">
            <w:r>
              <w:t>Green</w:t>
            </w:r>
          </w:p>
        </w:tc>
      </w:tr>
      <w:tr w:rsidR="00D33367" w14:paraId="3F9D1967" w14:textId="77777777">
        <w:tc>
          <w:tcPr>
            <w:tcW w:w="5040" w:type="dxa"/>
            <w:shd w:val="clear" w:color="auto" w:fill="D9EAD3"/>
          </w:tcPr>
          <w:p w14:paraId="1FC5277E" w14:textId="77777777" w:rsidR="00D33367" w:rsidRDefault="00000000">
            <w:r>
              <w:rPr>
                <w:b/>
              </w:rPr>
              <w:t>AI contribution color</w:t>
            </w:r>
          </w:p>
        </w:tc>
        <w:tc>
          <w:tcPr>
            <w:tcW w:w="5040" w:type="dxa"/>
            <w:shd w:val="clear" w:color="auto" w:fill="DDEBF7"/>
          </w:tcPr>
          <w:p w14:paraId="6988C93D" w14:textId="77777777" w:rsidR="00D33367" w:rsidRDefault="00000000">
            <w:r>
              <w:t>Blue</w:t>
            </w:r>
          </w:p>
        </w:tc>
      </w:tr>
    </w:tbl>
    <w:p w14:paraId="08E46202" w14:textId="77777777" w:rsidR="00D33367" w:rsidRDefault="00000000">
      <w:pPr>
        <w:pStyle w:val="Heading1"/>
      </w:pPr>
      <w:r>
        <w:t>1. Purpose of this patch</w:t>
      </w:r>
    </w:p>
    <w:p w14:paraId="3C90952F" w14:textId="77777777" w:rsidR="00D33367" w:rsidRDefault="00000000">
      <w:r>
        <w:t>This document consolidates the architectural reasoning that followed Patch v0.6. It records the discussion about keeping classification optional, maintaining a clean path from desktop to web distribution, defining the minimum requirements of a universal shell, allowing objects to have multiple parents, and integrating professional third-party software. It also adds a new human proposal: the shell itself may be understood as an adapter, inspired by digital audio workstation (DAW) plug-in systems.</w:t>
      </w:r>
    </w:p>
    <w:p w14:paraId="11B7F73B" w14:textId="77777777" w:rsidR="00D33367" w:rsidRDefault="00000000">
      <w:pPr>
        <w:pStyle w:val="Heading1"/>
      </w:pPr>
      <w:r>
        <w:t>2. Classification remains deferred but architecturally possible</w:t>
      </w:r>
    </w:p>
    <w:tbl>
      <w:tblPr>
        <w:tblW w:w="0" w:type="auto"/>
        <w:tblLook w:val="04A0" w:firstRow="1" w:lastRow="0" w:firstColumn="1" w:lastColumn="0" w:noHBand="0" w:noVBand="1"/>
      </w:tblPr>
      <w:tblGrid>
        <w:gridCol w:w="10080"/>
      </w:tblGrid>
      <w:tr w:rsidR="00D33367" w14:paraId="295BE108" w14:textId="77777777">
        <w:tc>
          <w:tcPr>
            <w:tcW w:w="10080" w:type="dxa"/>
            <w:shd w:val="clear" w:color="auto" w:fill="E2F0D9"/>
          </w:tcPr>
          <w:p w14:paraId="59944D07" w14:textId="77777777" w:rsidR="00D33367" w:rsidRDefault="00000000">
            <w:r>
              <w:rPr>
                <w:b/>
                <w:color w:val="006E37"/>
              </w:rPr>
              <w:t xml:space="preserve">Human (Max): </w:t>
            </w:r>
            <w:r>
              <w:t>Classification should remain in the background for now. The architecture should make it easy to add later, but object creation and early navigation should not depend on a universal library or mandatory taxonomy.</w:t>
            </w:r>
          </w:p>
        </w:tc>
      </w:tr>
    </w:tbl>
    <w:p w14:paraId="44D4C16E" w14:textId="77777777" w:rsidR="00D33367" w:rsidRDefault="00D33367">
      <w:pPr>
        <w:spacing w:after="0"/>
      </w:pPr>
    </w:p>
    <w:tbl>
      <w:tblPr>
        <w:tblW w:w="0" w:type="auto"/>
        <w:tblLook w:val="04A0" w:firstRow="1" w:lastRow="0" w:firstColumn="1" w:lastColumn="0" w:noHBand="0" w:noVBand="1"/>
      </w:tblPr>
      <w:tblGrid>
        <w:gridCol w:w="10080"/>
      </w:tblGrid>
      <w:tr w:rsidR="00D33367" w14:paraId="69D20CF9" w14:textId="77777777">
        <w:tc>
          <w:tcPr>
            <w:tcW w:w="10080" w:type="dxa"/>
            <w:shd w:val="clear" w:color="auto" w:fill="DDEBF7"/>
          </w:tcPr>
          <w:p w14:paraId="310D646A" w14:textId="77777777" w:rsidR="00D33367" w:rsidRDefault="00000000">
            <w:r>
              <w:rPr>
                <w:b/>
                <w:color w:val="1F4E79"/>
              </w:rPr>
              <w:t xml:space="preserve">AI: </w:t>
            </w:r>
            <w:r>
              <w:t>The working recommendation is to preserve stable object identity, local placement, explicit links, search-ready metadata, and graph compatibility. Classification can later become an optional and replaceable view rather than the underlying ontology.</w:t>
            </w:r>
          </w:p>
        </w:tc>
      </w:tr>
    </w:tbl>
    <w:p w14:paraId="3A489DD3" w14:textId="77777777" w:rsidR="00D33367" w:rsidRDefault="00D33367">
      <w:pPr>
        <w:spacing w:after="0"/>
      </w:pPr>
    </w:p>
    <w:p w14:paraId="0EDB7AAD" w14:textId="77777777" w:rsidR="00D33367" w:rsidRDefault="00000000">
      <w:pPr>
        <w:pStyle w:val="Heading1"/>
      </w:pPr>
      <w:r>
        <w:t>3. Desktop-first use and web distribution</w:t>
      </w:r>
    </w:p>
    <w:tbl>
      <w:tblPr>
        <w:tblW w:w="0" w:type="auto"/>
        <w:tblLook w:val="04A0" w:firstRow="1" w:lastRow="0" w:firstColumn="1" w:lastColumn="0" w:noHBand="0" w:noVBand="1"/>
      </w:tblPr>
      <w:tblGrid>
        <w:gridCol w:w="10080"/>
      </w:tblGrid>
      <w:tr w:rsidR="00D33367" w14:paraId="6EC19AC0" w14:textId="77777777">
        <w:tc>
          <w:tcPr>
            <w:tcW w:w="10080" w:type="dxa"/>
            <w:shd w:val="clear" w:color="auto" w:fill="E2F0D9"/>
          </w:tcPr>
          <w:p w14:paraId="14FDFC38" w14:textId="77777777" w:rsidR="00D33367" w:rsidRDefault="00000000">
            <w:r>
              <w:rPr>
                <w:b/>
                <w:color w:val="006E37"/>
              </w:rPr>
              <w:t xml:space="preserve">Human (Max): </w:t>
            </w:r>
            <w:r>
              <w:t>The first practical product should feel like a desktop application, but early versions may need to be shared with friends through the web. The architecture therefore must not trap the project inside Electron-only assumptions.</w:t>
            </w:r>
          </w:p>
        </w:tc>
      </w:tr>
    </w:tbl>
    <w:p w14:paraId="145AB09D" w14:textId="77777777" w:rsidR="00D33367" w:rsidRDefault="00D33367">
      <w:pPr>
        <w:spacing w:after="0"/>
      </w:pPr>
    </w:p>
    <w:tbl>
      <w:tblPr>
        <w:tblW w:w="0" w:type="auto"/>
        <w:tblLook w:val="04A0" w:firstRow="1" w:lastRow="0" w:firstColumn="1" w:lastColumn="0" w:noHBand="0" w:noVBand="1"/>
      </w:tblPr>
      <w:tblGrid>
        <w:gridCol w:w="10080"/>
      </w:tblGrid>
      <w:tr w:rsidR="00D33367" w14:paraId="16F8760A" w14:textId="77777777">
        <w:tc>
          <w:tcPr>
            <w:tcW w:w="10080" w:type="dxa"/>
            <w:shd w:val="clear" w:color="auto" w:fill="DDEBF7"/>
          </w:tcPr>
          <w:p w14:paraId="76362A0F" w14:textId="77777777" w:rsidR="00D33367" w:rsidRDefault="00000000">
            <w:r>
              <w:rPr>
                <w:b/>
                <w:color w:val="1F4E79"/>
              </w:rPr>
              <w:t xml:space="preserve">AI: </w:t>
            </w:r>
            <w:r>
              <w:t>An Electron application can share most of its interface and domain logic with a web application only if the renderer remains browser-compatible. Filesystem access, local processes, databases, Git, Jupyter, and operating-system services must be accessed through platform interfaces rather than imported directly into the core UI.</w:t>
            </w:r>
          </w:p>
        </w:tc>
      </w:tr>
    </w:tbl>
    <w:p w14:paraId="54D52962" w14:textId="77777777" w:rsidR="00D33367" w:rsidRDefault="00D33367">
      <w:pPr>
        <w:spacing w:after="0"/>
      </w:pPr>
    </w:p>
    <w:p w14:paraId="10A186F2" w14:textId="77777777" w:rsidR="00D33367" w:rsidRDefault="00000000">
      <w:pPr>
        <w:pStyle w:val="Heading2"/>
      </w:pPr>
      <w:r>
        <w:lastRenderedPageBreak/>
        <w:t>3.1 Working deployment model</w:t>
      </w:r>
    </w:p>
    <w:p w14:paraId="1FC2AC6F" w14:textId="77777777" w:rsidR="00D33367" w:rsidRDefault="00000000">
      <w:pPr>
        <w:pStyle w:val="ListBullet"/>
      </w:pPr>
      <w:r>
        <w:t>One shared application core for the 3D workspace, shell model, navigation, research logic, and visual interface.</w:t>
      </w:r>
    </w:p>
    <w:p w14:paraId="0A5DF2D9" w14:textId="77777777" w:rsidR="00D33367" w:rsidRDefault="00000000">
      <w:pPr>
        <w:pStyle w:val="ListBullet"/>
      </w:pPr>
      <w:r>
        <w:t>An Electron platform adapter for local files, local databases, installed software, background processes, and native integration.</w:t>
      </w:r>
    </w:p>
    <w:p w14:paraId="513A1E1C" w14:textId="77777777" w:rsidR="00D33367" w:rsidRDefault="00000000">
      <w:pPr>
        <w:pStyle w:val="ListBullet"/>
      </w:pPr>
      <w:r>
        <w:t>A web platform adapter for browser storage, cloud services, remote computation, and restricted file access.</w:t>
      </w:r>
    </w:p>
    <w:p w14:paraId="3DA2099D" w14:textId="77777777" w:rsidR="00D33367" w:rsidRDefault="00000000">
      <w:pPr>
        <w:pStyle w:val="ListBullet"/>
      </w:pPr>
      <w:r>
        <w:t>Early browser builds may omit some desktop capabilities while still supporting usability testing of the recursive interface and shell mechanics.</w:t>
      </w:r>
    </w:p>
    <w:p w14:paraId="0C57A607" w14:textId="77777777" w:rsidR="00D33367" w:rsidRDefault="00000000">
      <w:pPr>
        <w:pStyle w:val="Heading1"/>
      </w:pPr>
      <w:r>
        <w:t>4. Multiple-parent objects</w:t>
      </w:r>
    </w:p>
    <w:tbl>
      <w:tblPr>
        <w:tblW w:w="0" w:type="auto"/>
        <w:tblLook w:val="04A0" w:firstRow="1" w:lastRow="0" w:firstColumn="1" w:lastColumn="0" w:noHBand="0" w:noVBand="1"/>
      </w:tblPr>
      <w:tblGrid>
        <w:gridCol w:w="10080"/>
      </w:tblGrid>
      <w:tr w:rsidR="00D33367" w14:paraId="3AC8FD88" w14:textId="77777777">
        <w:tc>
          <w:tcPr>
            <w:tcW w:w="10080" w:type="dxa"/>
            <w:shd w:val="clear" w:color="auto" w:fill="E2F0D9"/>
          </w:tcPr>
          <w:p w14:paraId="198913CA" w14:textId="77777777" w:rsidR="00D33367" w:rsidRDefault="00000000">
            <w:r>
              <w:rPr>
                <w:b/>
                <w:color w:val="006E37"/>
              </w:rPr>
              <w:t xml:space="preserve">Human (Max): </w:t>
            </w:r>
            <w:r>
              <w:t>The important implication is not merely avoiding a fixed parent. An object should be able to have multiple parents.</w:t>
            </w:r>
          </w:p>
        </w:tc>
      </w:tr>
    </w:tbl>
    <w:p w14:paraId="4BB31961" w14:textId="77777777" w:rsidR="00D33367" w:rsidRDefault="00D33367">
      <w:pPr>
        <w:spacing w:after="0"/>
      </w:pPr>
    </w:p>
    <w:tbl>
      <w:tblPr>
        <w:tblW w:w="0" w:type="auto"/>
        <w:tblLook w:val="04A0" w:firstRow="1" w:lastRow="0" w:firstColumn="1" w:lastColumn="0" w:noHBand="0" w:noVBand="1"/>
      </w:tblPr>
      <w:tblGrid>
        <w:gridCol w:w="10080"/>
      </w:tblGrid>
      <w:tr w:rsidR="00D33367" w14:paraId="575D8B31" w14:textId="77777777">
        <w:tc>
          <w:tcPr>
            <w:tcW w:w="10080" w:type="dxa"/>
            <w:shd w:val="clear" w:color="auto" w:fill="DDEBF7"/>
          </w:tcPr>
          <w:p w14:paraId="30E18950" w14:textId="77777777" w:rsidR="00D33367" w:rsidRDefault="00000000">
            <w:r>
              <w:rPr>
                <w:b/>
                <w:color w:val="1F4E79"/>
              </w:rPr>
              <w:t xml:space="preserve">AI: </w:t>
            </w:r>
            <w:r>
              <w:t>An object may appear in several contextual spaces without duplication. For example, computational fluid dynamics may appear under physics, mechanical engineering, aerospace engineering, energy systems, and climate modelling. None of these paths needs to be the single true parent.</w:t>
            </w:r>
          </w:p>
        </w:tc>
      </w:tr>
    </w:tbl>
    <w:p w14:paraId="3AB1BB6E" w14:textId="77777777" w:rsidR="00D33367" w:rsidRDefault="00D33367">
      <w:pPr>
        <w:spacing w:after="0"/>
      </w:pPr>
    </w:p>
    <w:p w14:paraId="4F7042A0" w14:textId="77777777" w:rsidR="00D33367" w:rsidRDefault="00000000">
      <w:pPr>
        <w:pStyle w:val="Heading2"/>
      </w:pPr>
      <w:r>
        <w:t>4.1 Resulting distinction</w:t>
      </w:r>
    </w:p>
    <w:tbl>
      <w:tblPr>
        <w:tblStyle w:val="TableGrid"/>
        <w:tblW w:w="0" w:type="auto"/>
        <w:tblLook w:val="04A0" w:firstRow="1" w:lastRow="0" w:firstColumn="1" w:lastColumn="0" w:noHBand="0" w:noVBand="1"/>
      </w:tblPr>
      <w:tblGrid>
        <w:gridCol w:w="3360"/>
        <w:gridCol w:w="3360"/>
        <w:gridCol w:w="3360"/>
      </w:tblGrid>
      <w:tr w:rsidR="00D33367" w14:paraId="1E928F70" w14:textId="77777777">
        <w:tc>
          <w:tcPr>
            <w:tcW w:w="3360" w:type="dxa"/>
            <w:shd w:val="clear" w:color="auto" w:fill="1F4E78"/>
          </w:tcPr>
          <w:p w14:paraId="20B8E1E6" w14:textId="77777777" w:rsidR="00D33367" w:rsidRDefault="00000000">
            <w:r>
              <w:rPr>
                <w:b/>
                <w:color w:val="FFFFFF"/>
              </w:rPr>
              <w:t>Concept</w:t>
            </w:r>
          </w:p>
        </w:tc>
        <w:tc>
          <w:tcPr>
            <w:tcW w:w="3360" w:type="dxa"/>
            <w:shd w:val="clear" w:color="auto" w:fill="1F4E78"/>
          </w:tcPr>
          <w:p w14:paraId="6FBEEC00" w14:textId="77777777" w:rsidR="00D33367" w:rsidRDefault="00000000">
            <w:r>
              <w:rPr>
                <w:b/>
                <w:color w:val="FFFFFF"/>
              </w:rPr>
              <w:t>Meaning</w:t>
            </w:r>
          </w:p>
        </w:tc>
        <w:tc>
          <w:tcPr>
            <w:tcW w:w="3360" w:type="dxa"/>
            <w:shd w:val="clear" w:color="auto" w:fill="1F4E78"/>
          </w:tcPr>
          <w:p w14:paraId="0A70A5BA" w14:textId="77777777" w:rsidR="00D33367" w:rsidRDefault="00000000">
            <w:r>
              <w:rPr>
                <w:b/>
                <w:color w:val="FFFFFF"/>
              </w:rPr>
              <w:t>Architectural role</w:t>
            </w:r>
          </w:p>
        </w:tc>
      </w:tr>
      <w:tr w:rsidR="00D33367" w14:paraId="2015B074" w14:textId="77777777">
        <w:tc>
          <w:tcPr>
            <w:tcW w:w="3360" w:type="dxa"/>
          </w:tcPr>
          <w:p w14:paraId="77957E5F" w14:textId="77777777" w:rsidR="00D33367" w:rsidRDefault="00000000">
            <w:r>
              <w:t>Object</w:t>
            </w:r>
          </w:p>
        </w:tc>
        <w:tc>
          <w:tcPr>
            <w:tcW w:w="3360" w:type="dxa"/>
          </w:tcPr>
          <w:p w14:paraId="3D1DF5AD" w14:textId="77777777" w:rsidR="00D33367" w:rsidRDefault="00000000">
            <w:r>
              <w:t>Stable conceptual identity</w:t>
            </w:r>
          </w:p>
        </w:tc>
        <w:tc>
          <w:tcPr>
            <w:tcW w:w="3360" w:type="dxa"/>
          </w:tcPr>
          <w:p w14:paraId="4166CEBB" w14:textId="77777777" w:rsidR="00D33367" w:rsidRDefault="00000000">
            <w:r>
              <w:t>May have zero or more parent relationships and one or more placements.</w:t>
            </w:r>
          </w:p>
        </w:tc>
      </w:tr>
      <w:tr w:rsidR="00D33367" w14:paraId="6354A438" w14:textId="77777777">
        <w:tc>
          <w:tcPr>
            <w:tcW w:w="3360" w:type="dxa"/>
          </w:tcPr>
          <w:p w14:paraId="7B1F27C8" w14:textId="77777777" w:rsidR="00D33367" w:rsidRDefault="00000000">
            <w:r>
              <w:t>Placement</w:t>
            </w:r>
          </w:p>
        </w:tc>
        <w:tc>
          <w:tcPr>
            <w:tcW w:w="3360" w:type="dxa"/>
          </w:tcPr>
          <w:p w14:paraId="75461518" w14:textId="77777777" w:rsidR="00D33367" w:rsidRDefault="00000000">
            <w:r>
              <w:t>One appearance of an object in one space</w:t>
            </w:r>
          </w:p>
        </w:tc>
        <w:tc>
          <w:tcPr>
            <w:tcW w:w="3360" w:type="dxa"/>
          </w:tcPr>
          <w:p w14:paraId="1CA43A13" w14:textId="77777777" w:rsidR="00D33367" w:rsidRDefault="00000000">
            <w:r>
              <w:t>Stores position and local visual state without duplicating the object.</w:t>
            </w:r>
          </w:p>
        </w:tc>
      </w:tr>
      <w:tr w:rsidR="00D33367" w14:paraId="5DC441AB" w14:textId="77777777">
        <w:tc>
          <w:tcPr>
            <w:tcW w:w="3360" w:type="dxa"/>
          </w:tcPr>
          <w:p w14:paraId="412CF6D3" w14:textId="77777777" w:rsidR="00D33367" w:rsidRDefault="00000000">
            <w:r>
              <w:t>Active path</w:t>
            </w:r>
          </w:p>
        </w:tc>
        <w:tc>
          <w:tcPr>
            <w:tcW w:w="3360" w:type="dxa"/>
          </w:tcPr>
          <w:p w14:paraId="7505C781" w14:textId="77777777" w:rsidR="00D33367" w:rsidRDefault="00000000">
            <w:r>
              <w:t>The route by which the user reached the current object</w:t>
            </w:r>
          </w:p>
        </w:tc>
        <w:tc>
          <w:tcPr>
            <w:tcW w:w="3360" w:type="dxa"/>
          </w:tcPr>
          <w:p w14:paraId="79C38B4F" w14:textId="77777777" w:rsidR="00D33367" w:rsidRDefault="00000000">
            <w:r>
              <w:t>Provides a clear way home without declaring one ontologically privileged parent.</w:t>
            </w:r>
          </w:p>
        </w:tc>
      </w:tr>
    </w:tbl>
    <w:p w14:paraId="4D183395" w14:textId="77777777" w:rsidR="00D33367" w:rsidRDefault="00000000">
      <w:r>
        <w:t>Working rule: an object does not need a mandatory parent at creation. It may remain unclassified temporarily, provided it remains discoverable through its workspace, search, or a later placement.</w:t>
      </w:r>
    </w:p>
    <w:p w14:paraId="347FBBA3" w14:textId="77777777" w:rsidR="00D33367" w:rsidRDefault="00000000">
      <w:pPr>
        <w:pStyle w:val="Heading1"/>
      </w:pPr>
      <w:r>
        <w:t>5. The universal shell question</w:t>
      </w:r>
    </w:p>
    <w:tbl>
      <w:tblPr>
        <w:tblW w:w="0" w:type="auto"/>
        <w:tblLook w:val="04A0" w:firstRow="1" w:lastRow="0" w:firstColumn="1" w:lastColumn="0" w:noHBand="0" w:noVBand="1"/>
      </w:tblPr>
      <w:tblGrid>
        <w:gridCol w:w="10080"/>
      </w:tblGrid>
      <w:tr w:rsidR="00D33367" w14:paraId="0A378BDD" w14:textId="77777777">
        <w:tc>
          <w:tcPr>
            <w:tcW w:w="10080" w:type="dxa"/>
            <w:shd w:val="clear" w:color="auto" w:fill="E2F0D9"/>
          </w:tcPr>
          <w:p w14:paraId="234E3442" w14:textId="059C70A2" w:rsidR="00D33367" w:rsidRDefault="00000000">
            <w:r>
              <w:rPr>
                <w:b/>
                <w:color w:val="006E37"/>
              </w:rPr>
              <w:t xml:space="preserve">Human (Max): </w:t>
            </w:r>
            <w:r>
              <w:t xml:space="preserve">The central question is whether a shell can be a universal object into which effectively limitless capabilities can be plugged. The desired standard is not a toy system; the architecture should eventually accommodate professional tools, </w:t>
            </w:r>
            <w:r w:rsidR="00B951CE">
              <w:t>e.g.</w:t>
            </w:r>
            <w:r>
              <w:t xml:space="preserve"> advanced fluid-dynamics modelling</w:t>
            </w:r>
            <w:r w:rsidR="00B951CE">
              <w:t xml:space="preserve"> or advanced statistical analyses</w:t>
            </w:r>
            <w:r>
              <w:t>.</w:t>
            </w:r>
          </w:p>
        </w:tc>
      </w:tr>
    </w:tbl>
    <w:p w14:paraId="0FFD667E" w14:textId="77777777" w:rsidR="00D33367" w:rsidRDefault="00D33367">
      <w:pPr>
        <w:spacing w:after="0"/>
      </w:pPr>
    </w:p>
    <w:tbl>
      <w:tblPr>
        <w:tblW w:w="0" w:type="auto"/>
        <w:tblLook w:val="04A0" w:firstRow="1" w:lastRow="0" w:firstColumn="1" w:lastColumn="0" w:noHBand="0" w:noVBand="1"/>
      </w:tblPr>
      <w:tblGrid>
        <w:gridCol w:w="10080"/>
      </w:tblGrid>
      <w:tr w:rsidR="00D33367" w14:paraId="6499E145" w14:textId="77777777">
        <w:tc>
          <w:tcPr>
            <w:tcW w:w="10080" w:type="dxa"/>
            <w:shd w:val="clear" w:color="auto" w:fill="DDEBF7"/>
          </w:tcPr>
          <w:p w14:paraId="0751B503" w14:textId="77777777" w:rsidR="00D33367" w:rsidRDefault="00000000">
            <w:r>
              <w:rPr>
                <w:b/>
                <w:color w:val="1F4E79"/>
              </w:rPr>
              <w:t xml:space="preserve">AI: </w:t>
            </w:r>
            <w:r>
              <w:t>The shell can be open-ended, but not literally omniscient. It should provide a universal integration contract. Any software may participate when an adapter can translate between Fractal and an exposed interface such as an API, command-line interface, scripting interface, file format, plugin SDK, embeddable web interface, or remote service.</w:t>
            </w:r>
          </w:p>
        </w:tc>
      </w:tr>
    </w:tbl>
    <w:p w14:paraId="7E640235" w14:textId="77777777" w:rsidR="00D33367" w:rsidRDefault="00D33367">
      <w:pPr>
        <w:spacing w:after="0"/>
      </w:pPr>
    </w:p>
    <w:p w14:paraId="5DB5ABE8" w14:textId="77777777" w:rsidR="00D33367" w:rsidRDefault="00000000">
      <w:pPr>
        <w:pStyle w:val="Heading2"/>
      </w:pPr>
      <w:r>
        <w:t>5.1 Minimum shell contract</w:t>
      </w:r>
    </w:p>
    <w:p w14:paraId="1D90B87A" w14:textId="77777777" w:rsidR="00D33367" w:rsidRDefault="00000000">
      <w:pPr>
        <w:pStyle w:val="ListBullet"/>
      </w:pPr>
      <w:r>
        <w:t>Stable identity</w:t>
      </w:r>
    </w:p>
    <w:p w14:paraId="5401E7F3" w14:textId="77777777" w:rsidR="00D33367" w:rsidRDefault="00000000">
      <w:pPr>
        <w:pStyle w:val="ListBullet"/>
      </w:pPr>
      <w:r>
        <w:t>Attached capabilities or plug-ins</w:t>
      </w:r>
    </w:p>
    <w:p w14:paraId="682C47FE" w14:textId="77777777" w:rsidR="00D33367" w:rsidRDefault="00000000">
      <w:pPr>
        <w:pStyle w:val="ListBullet"/>
      </w:pPr>
      <w:r>
        <w:t>Configuration and state</w:t>
      </w:r>
    </w:p>
    <w:p w14:paraId="05D2B8A3" w14:textId="77777777" w:rsidR="00D33367" w:rsidRDefault="00000000">
      <w:pPr>
        <w:pStyle w:val="ListBullet"/>
      </w:pPr>
      <w:r>
        <w:t>Typed or declared inputs and outputs</w:t>
      </w:r>
    </w:p>
    <w:p w14:paraId="00020522" w14:textId="77777777" w:rsidR="00D33367" w:rsidRDefault="00000000">
      <w:pPr>
        <w:pStyle w:val="ListBullet"/>
      </w:pPr>
      <w:r>
        <w:t>Optional internal Fractal space</w:t>
      </w:r>
    </w:p>
    <w:p w14:paraId="688B9A81" w14:textId="77777777" w:rsidR="00D33367" w:rsidRDefault="00000000">
      <w:pPr>
        <w:pStyle w:val="ListBullet"/>
      </w:pPr>
      <w:r>
        <w:t>Visual interface or view</w:t>
      </w:r>
    </w:p>
    <w:p w14:paraId="4EB326B3" w14:textId="77777777" w:rsidR="00D33367" w:rsidRDefault="00000000">
      <w:pPr>
        <w:pStyle w:val="ListBullet"/>
      </w:pPr>
      <w:r>
        <w:t>Execution adapter</w:t>
      </w:r>
    </w:p>
    <w:p w14:paraId="49E06E94" w14:textId="77777777" w:rsidR="00D33367" w:rsidRDefault="00000000">
      <w:pPr>
        <w:pStyle w:val="ListBullet"/>
      </w:pPr>
      <w:r>
        <w:t>Permissions and security requirements</w:t>
      </w:r>
    </w:p>
    <w:p w14:paraId="41FEFD88" w14:textId="77777777" w:rsidR="00D33367" w:rsidRDefault="00000000">
      <w:pPr>
        <w:pStyle w:val="ListBullet"/>
      </w:pPr>
      <w:r>
        <w:t>Provenance and version hooks</w:t>
      </w:r>
    </w:p>
    <w:p w14:paraId="6E51151B" w14:textId="77777777" w:rsidR="00D33367" w:rsidRDefault="00000000">
      <w:pPr>
        <w:pStyle w:val="Heading1"/>
      </w:pPr>
      <w:r>
        <w:t>6. Shell as adapter: the DAW-inspired model</w:t>
      </w:r>
    </w:p>
    <w:tbl>
      <w:tblPr>
        <w:tblW w:w="0" w:type="auto"/>
        <w:tblLook w:val="04A0" w:firstRow="1" w:lastRow="0" w:firstColumn="1" w:lastColumn="0" w:noHBand="0" w:noVBand="1"/>
      </w:tblPr>
      <w:tblGrid>
        <w:gridCol w:w="10080"/>
      </w:tblGrid>
      <w:tr w:rsidR="00D33367" w14:paraId="1DBDF76D" w14:textId="77777777">
        <w:tc>
          <w:tcPr>
            <w:tcW w:w="10080" w:type="dxa"/>
            <w:shd w:val="clear" w:color="auto" w:fill="E2F0D9"/>
          </w:tcPr>
          <w:p w14:paraId="37A3B0AF" w14:textId="77777777" w:rsidR="00D33367" w:rsidRDefault="00000000">
            <w:r>
              <w:rPr>
                <w:b/>
                <w:color w:val="006E37"/>
              </w:rPr>
              <w:t xml:space="preserve">Human (Max): </w:t>
            </w:r>
            <w:r>
              <w:t>The shell itself may be treated as an adapter. This idea is inspired by digital audio workstations: the platform begins with simple native plug-ins, but can later accept third-party plug-ins. Existing specialist software could also be integrated, creating room for technical partnerships with software vendors.</w:t>
            </w:r>
          </w:p>
        </w:tc>
      </w:tr>
    </w:tbl>
    <w:p w14:paraId="1BC9DFE0" w14:textId="77777777" w:rsidR="00D33367" w:rsidRDefault="00D33367">
      <w:pPr>
        <w:spacing w:after="0"/>
      </w:pPr>
    </w:p>
    <w:tbl>
      <w:tblPr>
        <w:tblW w:w="0" w:type="auto"/>
        <w:tblLook w:val="04A0" w:firstRow="1" w:lastRow="0" w:firstColumn="1" w:lastColumn="0" w:noHBand="0" w:noVBand="1"/>
      </w:tblPr>
      <w:tblGrid>
        <w:gridCol w:w="10080"/>
      </w:tblGrid>
      <w:tr w:rsidR="00D33367" w14:paraId="1639FC3B" w14:textId="77777777">
        <w:tc>
          <w:tcPr>
            <w:tcW w:w="10080" w:type="dxa"/>
            <w:shd w:val="clear" w:color="auto" w:fill="DDEBF7"/>
          </w:tcPr>
          <w:p w14:paraId="2A9E4E99" w14:textId="77777777" w:rsidR="00D33367" w:rsidRDefault="00000000">
            <w:r>
              <w:rPr>
                <w:b/>
                <w:color w:val="1F4E79"/>
              </w:rPr>
              <w:t xml:space="preserve">AI: </w:t>
            </w:r>
            <w:r>
              <w:t>This analogy is structurally strong. Fractal can define a host contract in the same way a DAW defines how instruments and effects connect to tracks, inputs, outputs, automation, and project state. The Fractal shell would host research capabilities rather than audio processors.</w:t>
            </w:r>
          </w:p>
        </w:tc>
      </w:tr>
    </w:tbl>
    <w:p w14:paraId="498E2333" w14:textId="77777777" w:rsidR="00D33367" w:rsidRDefault="00D33367">
      <w:pPr>
        <w:spacing w:after="0"/>
      </w:pPr>
    </w:p>
    <w:p w14:paraId="6CE9251B" w14:textId="77777777" w:rsidR="00D33367" w:rsidRDefault="00000000">
      <w:pPr>
        <w:pStyle w:val="Heading2"/>
      </w:pPr>
      <w:r>
        <w:t>6.1 Three extension paths</w:t>
      </w:r>
    </w:p>
    <w:tbl>
      <w:tblPr>
        <w:tblStyle w:val="TableGrid"/>
        <w:tblW w:w="0" w:type="auto"/>
        <w:tblLook w:val="04A0" w:firstRow="1" w:lastRow="0" w:firstColumn="1" w:lastColumn="0" w:noHBand="0" w:noVBand="1"/>
      </w:tblPr>
      <w:tblGrid>
        <w:gridCol w:w="2520"/>
        <w:gridCol w:w="2520"/>
        <w:gridCol w:w="2520"/>
        <w:gridCol w:w="2520"/>
      </w:tblGrid>
      <w:tr w:rsidR="00D33367" w14:paraId="3CF4FE89" w14:textId="77777777">
        <w:tc>
          <w:tcPr>
            <w:tcW w:w="2520" w:type="dxa"/>
            <w:shd w:val="clear" w:color="auto" w:fill="1F4E78"/>
          </w:tcPr>
          <w:p w14:paraId="474164E2" w14:textId="77777777" w:rsidR="00D33367" w:rsidRDefault="00000000">
            <w:r>
              <w:rPr>
                <w:b/>
                <w:color w:val="FFFFFF"/>
              </w:rPr>
              <w:t>Extension path</w:t>
            </w:r>
          </w:p>
        </w:tc>
        <w:tc>
          <w:tcPr>
            <w:tcW w:w="2520" w:type="dxa"/>
            <w:shd w:val="clear" w:color="auto" w:fill="1F4E78"/>
          </w:tcPr>
          <w:p w14:paraId="32C8177B" w14:textId="77777777" w:rsidR="00D33367" w:rsidRDefault="00000000">
            <w:r>
              <w:rPr>
                <w:b/>
                <w:color w:val="FFFFFF"/>
              </w:rPr>
              <w:t>Who builds it</w:t>
            </w:r>
          </w:p>
        </w:tc>
        <w:tc>
          <w:tcPr>
            <w:tcW w:w="2520" w:type="dxa"/>
            <w:shd w:val="clear" w:color="auto" w:fill="1F4E78"/>
          </w:tcPr>
          <w:p w14:paraId="41399A4F" w14:textId="77777777" w:rsidR="00D33367" w:rsidRDefault="00000000">
            <w:r>
              <w:rPr>
                <w:b/>
                <w:color w:val="FFFFFF"/>
              </w:rPr>
              <w:t>Example</w:t>
            </w:r>
          </w:p>
        </w:tc>
        <w:tc>
          <w:tcPr>
            <w:tcW w:w="2520" w:type="dxa"/>
            <w:shd w:val="clear" w:color="auto" w:fill="1F4E78"/>
          </w:tcPr>
          <w:p w14:paraId="59E18D42" w14:textId="77777777" w:rsidR="00D33367" w:rsidRDefault="00000000">
            <w:r>
              <w:rPr>
                <w:b/>
                <w:color w:val="FFFFFF"/>
              </w:rPr>
              <w:t>Strategic value</w:t>
            </w:r>
          </w:p>
        </w:tc>
      </w:tr>
      <w:tr w:rsidR="00D33367" w14:paraId="2598DBDC" w14:textId="77777777">
        <w:tc>
          <w:tcPr>
            <w:tcW w:w="2520" w:type="dxa"/>
          </w:tcPr>
          <w:p w14:paraId="1DD59448" w14:textId="77777777" w:rsidR="00D33367" w:rsidRDefault="00000000">
            <w:r>
              <w:t>Native plug-in</w:t>
            </w:r>
          </w:p>
        </w:tc>
        <w:tc>
          <w:tcPr>
            <w:tcW w:w="2520" w:type="dxa"/>
          </w:tcPr>
          <w:p w14:paraId="25A63EB6" w14:textId="77777777" w:rsidR="00D33367" w:rsidRDefault="00000000">
            <w:r>
              <w:t>Fractal project</w:t>
            </w:r>
          </w:p>
        </w:tc>
        <w:tc>
          <w:tcPr>
            <w:tcW w:w="2520" w:type="dxa"/>
          </w:tcPr>
          <w:p w14:paraId="75C09A90" w14:textId="77777777" w:rsidR="00D33367" w:rsidRDefault="00000000">
            <w:r>
              <w:t>Text editor, simple table, chart, basic statistics</w:t>
            </w:r>
          </w:p>
        </w:tc>
        <w:tc>
          <w:tcPr>
            <w:tcW w:w="2520" w:type="dxa"/>
          </w:tcPr>
          <w:p w14:paraId="78F68D55" w14:textId="77777777" w:rsidR="00D33367" w:rsidRDefault="00000000">
            <w:r>
              <w:t>Establishes the contract and guarantees core functionality.</w:t>
            </w:r>
          </w:p>
        </w:tc>
      </w:tr>
      <w:tr w:rsidR="00D33367" w14:paraId="22C69090" w14:textId="77777777">
        <w:tc>
          <w:tcPr>
            <w:tcW w:w="2520" w:type="dxa"/>
          </w:tcPr>
          <w:p w14:paraId="743742A3" w14:textId="77777777" w:rsidR="00D33367" w:rsidRDefault="00000000">
            <w:r>
              <w:t>Third-party plug-in</w:t>
            </w:r>
          </w:p>
        </w:tc>
        <w:tc>
          <w:tcPr>
            <w:tcW w:w="2520" w:type="dxa"/>
          </w:tcPr>
          <w:p w14:paraId="07045E81" w14:textId="77777777" w:rsidR="00D33367" w:rsidRDefault="00000000">
            <w:r>
              <w:t>Independent developer or researcher</w:t>
            </w:r>
          </w:p>
        </w:tc>
        <w:tc>
          <w:tcPr>
            <w:tcW w:w="2520" w:type="dxa"/>
          </w:tcPr>
          <w:p w14:paraId="4DAA34EF" w14:textId="77777777" w:rsidR="00D33367" w:rsidRDefault="00000000">
            <w:r>
              <w:t>Specialised analysis package or disciplinary workflow</w:t>
            </w:r>
          </w:p>
        </w:tc>
        <w:tc>
          <w:tcPr>
            <w:tcW w:w="2520" w:type="dxa"/>
          </w:tcPr>
          <w:p w14:paraId="15BD85E6" w14:textId="77777777" w:rsidR="00D33367" w:rsidRDefault="00000000">
            <w:r>
              <w:t>Allows the ecosystem to expand without central implementation.</w:t>
            </w:r>
          </w:p>
        </w:tc>
      </w:tr>
      <w:tr w:rsidR="00D33367" w14:paraId="251644C7" w14:textId="77777777">
        <w:tc>
          <w:tcPr>
            <w:tcW w:w="2520" w:type="dxa"/>
          </w:tcPr>
          <w:p w14:paraId="36A4AD25" w14:textId="77777777" w:rsidR="00D33367" w:rsidRDefault="00000000">
            <w:r>
              <w:t>Existing-software adapter</w:t>
            </w:r>
          </w:p>
        </w:tc>
        <w:tc>
          <w:tcPr>
            <w:tcW w:w="2520" w:type="dxa"/>
          </w:tcPr>
          <w:p w14:paraId="66932D32" w14:textId="77777777" w:rsidR="00D33367" w:rsidRDefault="00000000">
            <w:r>
              <w:t>Fractal team, user, institution, or vendor partner</w:t>
            </w:r>
          </w:p>
        </w:tc>
        <w:tc>
          <w:tcPr>
            <w:tcW w:w="2520" w:type="dxa"/>
          </w:tcPr>
          <w:p w14:paraId="3739BF51" w14:textId="77777777" w:rsidR="00D33367" w:rsidRDefault="00000000">
            <w:r>
              <w:t>CFD solver, MATLAB, GIS, Blender, HPC service</w:t>
            </w:r>
          </w:p>
        </w:tc>
        <w:tc>
          <w:tcPr>
            <w:tcW w:w="2520" w:type="dxa"/>
          </w:tcPr>
          <w:p w14:paraId="3D6D4C56" w14:textId="77777777" w:rsidR="00D33367" w:rsidRDefault="00000000">
            <w:r>
              <w:t>Connects professional systems without reimplementing them.</w:t>
            </w:r>
          </w:p>
        </w:tc>
      </w:tr>
    </w:tbl>
    <w:p w14:paraId="62594F59" w14:textId="77777777" w:rsidR="00D33367" w:rsidRDefault="00000000">
      <w:pPr>
        <w:pStyle w:val="Heading1"/>
      </w:pPr>
      <w:r>
        <w:t>7. Professional scientific software example: CFD</w:t>
      </w:r>
    </w:p>
    <w:p w14:paraId="1745E6FF" w14:textId="77777777" w:rsidR="00D33367" w:rsidRDefault="00000000">
      <w:r>
        <w:t>A computational fluid dynamics capability could be represented as follows:</w:t>
      </w:r>
    </w:p>
    <w:p w14:paraId="6FBB7A0F" w14:textId="77777777" w:rsidR="00D33367" w:rsidRDefault="00000000">
      <w:pPr>
        <w:pStyle w:val="ListBullet"/>
      </w:pPr>
      <w:r>
        <w:t>The shell presents model configuration, geometry references, boundary conditions, solver settings, progress, and results.</w:t>
      </w:r>
    </w:p>
    <w:p w14:paraId="06467ED9" w14:textId="77777777" w:rsidR="00D33367" w:rsidRDefault="00000000">
      <w:pPr>
        <w:pStyle w:val="ListBullet"/>
      </w:pPr>
      <w:r>
        <w:t>An adapter generates or transmits the required input format.</w:t>
      </w:r>
    </w:p>
    <w:p w14:paraId="597D05CD" w14:textId="77777777" w:rsidR="00D33367" w:rsidRDefault="00000000">
      <w:pPr>
        <w:pStyle w:val="ListBullet"/>
      </w:pPr>
      <w:r>
        <w:t>The actual solver runs locally, in an installed professional package, on a remote server, or on institutional high-performance computing infrastructure.</w:t>
      </w:r>
    </w:p>
    <w:p w14:paraId="2C546171" w14:textId="77777777" w:rsidR="00D33367" w:rsidRDefault="00000000">
      <w:pPr>
        <w:pStyle w:val="ListBullet"/>
      </w:pPr>
      <w:r>
        <w:lastRenderedPageBreak/>
        <w:t>Results are returned to Fractal as traceable outputs with solver version, parameters, input references, logs, and provenance.</w:t>
      </w:r>
    </w:p>
    <w:p w14:paraId="3C2AE8F8" w14:textId="77777777" w:rsidR="00D33367" w:rsidRDefault="00000000">
      <w:pPr>
        <w:pStyle w:val="ListBullet"/>
      </w:pPr>
      <w:r>
        <w:t>Licensing, proprietary formats, available APIs, and compute requirements remain external constraints that Fractal cannot eliminate.</w:t>
      </w:r>
    </w:p>
    <w:p w14:paraId="55383F6B" w14:textId="77777777" w:rsidR="00D33367" w:rsidRDefault="00000000">
      <w:pPr>
        <w:pStyle w:val="Heading1"/>
      </w:pPr>
      <w:r>
        <w:t>8. One shell structure, several behavioural roles</w:t>
      </w:r>
    </w:p>
    <w:tbl>
      <w:tblPr>
        <w:tblW w:w="0" w:type="auto"/>
        <w:tblLook w:val="04A0" w:firstRow="1" w:lastRow="0" w:firstColumn="1" w:lastColumn="0" w:noHBand="0" w:noVBand="1"/>
      </w:tblPr>
      <w:tblGrid>
        <w:gridCol w:w="10080"/>
      </w:tblGrid>
      <w:tr w:rsidR="00D33367" w14:paraId="31798AC9" w14:textId="77777777">
        <w:tc>
          <w:tcPr>
            <w:tcW w:w="10080" w:type="dxa"/>
            <w:shd w:val="clear" w:color="auto" w:fill="DDEBF7"/>
          </w:tcPr>
          <w:p w14:paraId="69E5D717" w14:textId="77777777" w:rsidR="00D33367" w:rsidRDefault="00000000">
            <w:r>
              <w:rPr>
                <w:b/>
                <w:color w:val="1F4E79"/>
              </w:rPr>
              <w:t xml:space="preserve">AI: </w:t>
            </w:r>
            <w:r>
              <w:t>The current recommendation is to retain one universal shell structure rather than creating separate fundamental classes for folders, applications, documents, and operators. The shell can declare one or more behavioural roles.</w:t>
            </w:r>
          </w:p>
        </w:tc>
      </w:tr>
    </w:tbl>
    <w:p w14:paraId="1ECE1D69" w14:textId="77777777" w:rsidR="00D33367" w:rsidRDefault="00D33367">
      <w:pPr>
        <w:spacing w:after="0"/>
      </w:pPr>
    </w:p>
    <w:tbl>
      <w:tblPr>
        <w:tblStyle w:val="TableGrid"/>
        <w:tblW w:w="0" w:type="auto"/>
        <w:tblLook w:val="04A0" w:firstRow="1" w:lastRow="0" w:firstColumn="1" w:lastColumn="0" w:noHBand="0" w:noVBand="1"/>
      </w:tblPr>
      <w:tblGrid>
        <w:gridCol w:w="3360"/>
        <w:gridCol w:w="3360"/>
        <w:gridCol w:w="3360"/>
      </w:tblGrid>
      <w:tr w:rsidR="00D33367" w14:paraId="7E435AD9" w14:textId="77777777">
        <w:tc>
          <w:tcPr>
            <w:tcW w:w="3360" w:type="dxa"/>
            <w:shd w:val="clear" w:color="auto" w:fill="1F4E78"/>
          </w:tcPr>
          <w:p w14:paraId="644AF732" w14:textId="77777777" w:rsidR="00D33367" w:rsidRDefault="00000000">
            <w:r>
              <w:rPr>
                <w:b/>
                <w:color w:val="FFFFFF"/>
              </w:rPr>
              <w:t>Role</w:t>
            </w:r>
          </w:p>
        </w:tc>
        <w:tc>
          <w:tcPr>
            <w:tcW w:w="3360" w:type="dxa"/>
            <w:shd w:val="clear" w:color="auto" w:fill="1F4E78"/>
          </w:tcPr>
          <w:p w14:paraId="2AFA1FE4" w14:textId="77777777" w:rsidR="00D33367" w:rsidRDefault="00000000">
            <w:r>
              <w:rPr>
                <w:b/>
                <w:color w:val="FFFFFF"/>
              </w:rPr>
              <w:t>Purpose</w:t>
            </w:r>
          </w:p>
        </w:tc>
        <w:tc>
          <w:tcPr>
            <w:tcW w:w="3360" w:type="dxa"/>
            <w:shd w:val="clear" w:color="auto" w:fill="1F4E78"/>
          </w:tcPr>
          <w:p w14:paraId="58A648CA" w14:textId="77777777" w:rsidR="00D33367" w:rsidRDefault="00000000">
            <w:r>
              <w:rPr>
                <w:b/>
                <w:color w:val="FFFFFF"/>
              </w:rPr>
              <w:t>Example</w:t>
            </w:r>
          </w:p>
        </w:tc>
      </w:tr>
      <w:tr w:rsidR="00D33367" w14:paraId="6B28ADC7" w14:textId="77777777">
        <w:tc>
          <w:tcPr>
            <w:tcW w:w="3360" w:type="dxa"/>
          </w:tcPr>
          <w:p w14:paraId="7901457E" w14:textId="77777777" w:rsidR="00D33367" w:rsidRDefault="00000000">
            <w:r>
              <w:t>Container</w:t>
            </w:r>
          </w:p>
        </w:tc>
        <w:tc>
          <w:tcPr>
            <w:tcW w:w="3360" w:type="dxa"/>
          </w:tcPr>
          <w:p w14:paraId="40D3ECFB" w14:textId="77777777" w:rsidR="00D33367" w:rsidRDefault="00000000">
            <w:r>
              <w:t>Opens an internal Fractal space</w:t>
            </w:r>
          </w:p>
        </w:tc>
        <w:tc>
          <w:tcPr>
            <w:tcW w:w="3360" w:type="dxa"/>
          </w:tcPr>
          <w:p w14:paraId="1D373CEA" w14:textId="77777777" w:rsidR="00D33367" w:rsidRDefault="00000000">
            <w:r>
              <w:t>Galaxy or research project</w:t>
            </w:r>
          </w:p>
        </w:tc>
      </w:tr>
      <w:tr w:rsidR="00D33367" w14:paraId="6A038319" w14:textId="77777777">
        <w:tc>
          <w:tcPr>
            <w:tcW w:w="3360" w:type="dxa"/>
          </w:tcPr>
          <w:p w14:paraId="129FA428" w14:textId="77777777" w:rsidR="00D33367" w:rsidRDefault="00000000">
            <w:r>
              <w:t>Resource</w:t>
            </w:r>
          </w:p>
        </w:tc>
        <w:tc>
          <w:tcPr>
            <w:tcW w:w="3360" w:type="dxa"/>
          </w:tcPr>
          <w:p w14:paraId="11694590" w14:textId="77777777" w:rsidR="00D33367" w:rsidRDefault="00000000">
            <w:r>
              <w:t>Stores or references information</w:t>
            </w:r>
          </w:p>
        </w:tc>
        <w:tc>
          <w:tcPr>
            <w:tcW w:w="3360" w:type="dxa"/>
          </w:tcPr>
          <w:p w14:paraId="0E9E4D2D" w14:textId="77777777" w:rsidR="00D33367" w:rsidRDefault="00000000">
            <w:r>
              <w:t>Text, dataset, paper, image</w:t>
            </w:r>
          </w:p>
        </w:tc>
      </w:tr>
      <w:tr w:rsidR="00D33367" w14:paraId="7C89FD83" w14:textId="77777777">
        <w:tc>
          <w:tcPr>
            <w:tcW w:w="3360" w:type="dxa"/>
          </w:tcPr>
          <w:p w14:paraId="23C9486D" w14:textId="77777777" w:rsidR="00D33367" w:rsidRDefault="00000000">
            <w:r>
              <w:t>Operation</w:t>
            </w:r>
          </w:p>
        </w:tc>
        <w:tc>
          <w:tcPr>
            <w:tcW w:w="3360" w:type="dxa"/>
          </w:tcPr>
          <w:p w14:paraId="7BEC381D" w14:textId="77777777" w:rsidR="00D33367" w:rsidRDefault="00000000">
            <w:r>
              <w:t>Transforms inputs into outputs</w:t>
            </w:r>
          </w:p>
        </w:tc>
        <w:tc>
          <w:tcPr>
            <w:tcW w:w="3360" w:type="dxa"/>
          </w:tcPr>
          <w:p w14:paraId="3031AB6B" w14:textId="77777777" w:rsidR="00D33367" w:rsidRDefault="00000000">
            <w:r>
              <w:t>Regression, simulation, cleaning step</w:t>
            </w:r>
          </w:p>
        </w:tc>
      </w:tr>
      <w:tr w:rsidR="00D33367" w14:paraId="0240D1A0" w14:textId="77777777">
        <w:tc>
          <w:tcPr>
            <w:tcW w:w="3360" w:type="dxa"/>
          </w:tcPr>
          <w:p w14:paraId="54CF7C08" w14:textId="77777777" w:rsidR="00D33367" w:rsidRDefault="00000000">
            <w:r>
              <w:t>View</w:t>
            </w:r>
          </w:p>
        </w:tc>
        <w:tc>
          <w:tcPr>
            <w:tcW w:w="3360" w:type="dxa"/>
          </w:tcPr>
          <w:p w14:paraId="36D618E5" w14:textId="77777777" w:rsidR="00D33367" w:rsidRDefault="00000000">
            <w:r>
              <w:t>Renders or inspects information</w:t>
            </w:r>
          </w:p>
        </w:tc>
        <w:tc>
          <w:tcPr>
            <w:tcW w:w="3360" w:type="dxa"/>
          </w:tcPr>
          <w:p w14:paraId="4E85E8CD" w14:textId="77777777" w:rsidR="00D33367" w:rsidRDefault="00000000">
            <w:r>
              <w:t>Chart, table, 3D visualisation</w:t>
            </w:r>
          </w:p>
        </w:tc>
      </w:tr>
      <w:tr w:rsidR="00D33367" w14:paraId="03AD3F92" w14:textId="77777777">
        <w:tc>
          <w:tcPr>
            <w:tcW w:w="3360" w:type="dxa"/>
          </w:tcPr>
          <w:p w14:paraId="0BB68FBD" w14:textId="77777777" w:rsidR="00D33367" w:rsidRDefault="00000000">
            <w:r>
              <w:t>Composite</w:t>
            </w:r>
          </w:p>
        </w:tc>
        <w:tc>
          <w:tcPr>
            <w:tcW w:w="3360" w:type="dxa"/>
          </w:tcPr>
          <w:p w14:paraId="75B50A5E" w14:textId="77777777" w:rsidR="00D33367" w:rsidRDefault="00000000">
            <w:r>
              <w:t>Combines several roles</w:t>
            </w:r>
          </w:p>
        </w:tc>
        <w:tc>
          <w:tcPr>
            <w:tcW w:w="3360" w:type="dxa"/>
          </w:tcPr>
          <w:p w14:paraId="3D5BBEA3" w14:textId="77777777" w:rsidR="00D33367" w:rsidRDefault="00000000">
            <w:r>
              <w:t>CFD model with data, configuration, execution, and result views</w:t>
            </w:r>
          </w:p>
        </w:tc>
      </w:tr>
    </w:tbl>
    <w:p w14:paraId="286C7B0A" w14:textId="77777777" w:rsidR="00D33367" w:rsidRDefault="00000000">
      <w:pPr>
        <w:pStyle w:val="Heading1"/>
      </w:pPr>
      <w:r>
        <w:t>9. Security, reliability, and professional standards</w:t>
      </w:r>
    </w:p>
    <w:p w14:paraId="64B8EE8B" w14:textId="77777777" w:rsidR="00D33367" w:rsidRDefault="00000000">
      <w:r>
        <w:t>Extensibility creates failure and security risks. A professional plug-in system should eventually support:</w:t>
      </w:r>
    </w:p>
    <w:p w14:paraId="25A44861" w14:textId="77777777" w:rsidR="00D33367" w:rsidRDefault="00000000">
      <w:pPr>
        <w:pStyle w:val="ListBullet"/>
      </w:pPr>
      <w:r>
        <w:t>Isolated execution environments</w:t>
      </w:r>
    </w:p>
    <w:p w14:paraId="2A796AB6" w14:textId="77777777" w:rsidR="00D33367" w:rsidRDefault="00000000">
      <w:pPr>
        <w:pStyle w:val="ListBullet"/>
      </w:pPr>
      <w:r>
        <w:t>Explicit permission requests</w:t>
      </w:r>
    </w:p>
    <w:p w14:paraId="0EFF87CF" w14:textId="77777777" w:rsidR="00D33367" w:rsidRDefault="00000000">
      <w:pPr>
        <w:pStyle w:val="ListBullet"/>
      </w:pPr>
      <w:r>
        <w:t>Versioned manifests</w:t>
      </w:r>
    </w:p>
    <w:p w14:paraId="7C09D2CF" w14:textId="77777777" w:rsidR="00D33367" w:rsidRDefault="00000000">
      <w:pPr>
        <w:pStyle w:val="ListBullet"/>
      </w:pPr>
      <w:r>
        <w:t>Declared input/output contracts</w:t>
      </w:r>
    </w:p>
    <w:p w14:paraId="1FE93B66" w14:textId="77777777" w:rsidR="00D33367" w:rsidRDefault="00000000">
      <w:pPr>
        <w:pStyle w:val="ListBullet"/>
      </w:pPr>
      <w:r>
        <w:t>Cancellation and timeout mechanisms</w:t>
      </w:r>
    </w:p>
    <w:p w14:paraId="5198769E" w14:textId="77777777" w:rsidR="00D33367" w:rsidRDefault="00000000">
      <w:pPr>
        <w:pStyle w:val="ListBullet"/>
      </w:pPr>
      <w:r>
        <w:t>Resource limits</w:t>
      </w:r>
    </w:p>
    <w:p w14:paraId="610B7EF0" w14:textId="77777777" w:rsidR="00D33367" w:rsidRDefault="00000000">
      <w:pPr>
        <w:pStyle w:val="ListBullet"/>
      </w:pPr>
      <w:r>
        <w:t>Crash containment</w:t>
      </w:r>
    </w:p>
    <w:p w14:paraId="11119A7A" w14:textId="77777777" w:rsidR="00D33367" w:rsidRDefault="00000000">
      <w:pPr>
        <w:pStyle w:val="ListBullet"/>
      </w:pPr>
      <w:r>
        <w:t>Provenance logging</w:t>
      </w:r>
    </w:p>
    <w:p w14:paraId="6B5FF343" w14:textId="77777777" w:rsidR="00D33367" w:rsidRDefault="00000000">
      <w:pPr>
        <w:pStyle w:val="ListBullet"/>
      </w:pPr>
      <w:r>
        <w:t>Compatibility checks</w:t>
      </w:r>
    </w:p>
    <w:p w14:paraId="5B045357" w14:textId="77777777" w:rsidR="00D33367" w:rsidRDefault="00000000">
      <w:pPr>
        <w:pStyle w:val="ListBullet"/>
      </w:pPr>
      <w:r>
        <w:t>Deterministic or recorded execution environments where feasible</w:t>
      </w:r>
    </w:p>
    <w:p w14:paraId="4FFE1023" w14:textId="77777777" w:rsidR="00D33367" w:rsidRDefault="00000000">
      <w:pPr>
        <w:pStyle w:val="Heading1"/>
      </w:pPr>
      <w:r>
        <w:t>10. Current consolidated architecture</w:t>
      </w:r>
    </w:p>
    <w:p w14:paraId="60BDFF41" w14:textId="77777777" w:rsidR="00D33367" w:rsidRDefault="00000000">
      <w:r>
        <w:rPr>
          <w:b/>
        </w:rPr>
        <w:t>Shell = universal host</w:t>
      </w:r>
      <w:r>
        <w:rPr>
          <w:b/>
        </w:rPr>
        <w:br/>
      </w:r>
      <w:r>
        <w:t>Capability / plug-in = declared behaviour</w:t>
      </w:r>
      <w:r>
        <w:br/>
        <w:t>Adapter = connection to an execution environment or external system</w:t>
      </w:r>
      <w:r>
        <w:br/>
        <w:t>Placement = one contextual appearance of an object</w:t>
      </w:r>
      <w:r>
        <w:br/>
        <w:t>Object = stable identity that may have multiple parents and multiple placements</w:t>
      </w:r>
      <w:r>
        <w:br/>
        <w:t>Platform service = desktop or web implementation of environmental functions</w:t>
      </w:r>
    </w:p>
    <w:p w14:paraId="73F65A12" w14:textId="77777777" w:rsidR="00D33367" w:rsidRDefault="00000000">
      <w:pPr>
        <w:pStyle w:val="Heading1"/>
      </w:pPr>
      <w:r>
        <w:lastRenderedPageBreak/>
        <w:t>11. Implications for the first architectural prompt</w:t>
      </w:r>
    </w:p>
    <w:p w14:paraId="4CEA4F3D" w14:textId="77777777" w:rsidR="00D33367" w:rsidRDefault="00000000">
      <w:r>
        <w:t>The future prompt should communicate the following constraints without asking for the full plug-in ecosystem to be implemented immediately:</w:t>
      </w:r>
    </w:p>
    <w:p w14:paraId="53EEA3D0" w14:textId="77777777" w:rsidR="00D33367" w:rsidRDefault="00000000">
      <w:pPr>
        <w:pStyle w:val="ListBullet"/>
      </w:pPr>
      <w:r>
        <w:t>The renderer and domain core must remain web-compatible.</w:t>
      </w:r>
    </w:p>
    <w:p w14:paraId="050F3570" w14:textId="77777777" w:rsidR="00D33367" w:rsidRDefault="00000000">
      <w:pPr>
        <w:pStyle w:val="ListBullet"/>
      </w:pPr>
      <w:r>
        <w:t>Electron-specific services must be isolated behind platform interfaces.</w:t>
      </w:r>
    </w:p>
    <w:p w14:paraId="3381B91E" w14:textId="77777777" w:rsidR="00D33367" w:rsidRDefault="00000000">
      <w:pPr>
        <w:pStyle w:val="ListBullet"/>
      </w:pPr>
      <w:r>
        <w:t>Objects must support multiple contextual parents or placements.</w:t>
      </w:r>
    </w:p>
    <w:p w14:paraId="12A78CEB" w14:textId="77777777" w:rsidR="00D33367" w:rsidRDefault="00000000">
      <w:pPr>
        <w:pStyle w:val="ListBullet"/>
      </w:pPr>
      <w:r>
        <w:t>Classification must remain optional and replaceable.</w:t>
      </w:r>
    </w:p>
    <w:p w14:paraId="40D5BEC1" w14:textId="77777777" w:rsidR="00D33367" w:rsidRDefault="00000000">
      <w:pPr>
        <w:pStyle w:val="ListBullet"/>
      </w:pPr>
      <w:r>
        <w:t>The architecture should define one universal shell with versioned capabilities and adapters.</w:t>
      </w:r>
    </w:p>
    <w:p w14:paraId="6303D278" w14:textId="77777777" w:rsidR="00D33367" w:rsidRDefault="00000000">
      <w:pPr>
        <w:pStyle w:val="ListBullet"/>
      </w:pPr>
      <w:r>
        <w:t>The first implementation may include only a simple native container capability, while preserving future support for native plug-ins, third-party plug-ins, external application adapters, computational kernels, remote services, and institutional partnerships.</w:t>
      </w:r>
    </w:p>
    <w:p w14:paraId="24AE3610" w14:textId="77777777" w:rsidR="00D33367" w:rsidRDefault="00000000">
      <w:pPr>
        <w:pStyle w:val="Heading1"/>
      </w:pPr>
      <w:r>
        <w:t>12. Open questions (TBD – next protocol)</w:t>
      </w:r>
    </w:p>
    <w:p w14:paraId="4A5CCFF0" w14:textId="77777777" w:rsidR="00D33367" w:rsidRDefault="00000000">
      <w:pPr>
        <w:pStyle w:val="ListNumber"/>
      </w:pPr>
      <w:r>
        <w:t>What universal data or message format should shells exchange?</w:t>
      </w:r>
    </w:p>
    <w:p w14:paraId="65A21901" w14:textId="77777777" w:rsidR="00D33367" w:rsidRDefault="00000000">
      <w:pPr>
        <w:pStyle w:val="ListNumber"/>
      </w:pPr>
      <w:r>
        <w:t>Should inputs and outputs be strictly typed from the start or begin with flexible schemas?</w:t>
      </w:r>
    </w:p>
    <w:p w14:paraId="16A62E02" w14:textId="77777777" w:rsidR="00D33367" w:rsidRDefault="00000000">
      <w:pPr>
        <w:pStyle w:val="ListNumber"/>
      </w:pPr>
      <w:r>
        <w:t>How should plug-ins declare and render their interfaces?</w:t>
      </w:r>
    </w:p>
    <w:p w14:paraId="003FB2C3" w14:textId="77777777" w:rsidR="00D33367" w:rsidRDefault="00000000">
      <w:pPr>
        <w:pStyle w:val="ListNumber"/>
      </w:pPr>
      <w:r>
        <w:t>Which execution environments belong in the first architecture: browser, local process, WebAssembly, kernel, remote service?</w:t>
      </w:r>
    </w:p>
    <w:p w14:paraId="26B98083" w14:textId="77777777" w:rsidR="00D33367" w:rsidRDefault="00000000">
      <w:pPr>
        <w:pStyle w:val="ListNumber"/>
      </w:pPr>
      <w:r>
        <w:t>How should state, compatibility, licensing, and version migration be handled for third-party plug-ins?</w:t>
      </w:r>
    </w:p>
    <w:p w14:paraId="3583F8BC" w14:textId="77777777" w:rsidR="00D33367" w:rsidRDefault="00000000">
      <w:pPr>
        <w:pStyle w:val="ListNumber"/>
      </w:pPr>
      <w:r>
        <w:t>At what point should hashing and cryptographic revision identity enter the design?</w:t>
      </w:r>
    </w:p>
    <w:p w14:paraId="22EA0FAD" w14:textId="77777777" w:rsidR="00D33367" w:rsidRDefault="00000000">
      <w:r>
        <w:t>Disclaimer: These questions are intentionally unresolved. They will be investigated in subsequent protocol patches before the initial architectural blueprint is finalized.</w:t>
      </w:r>
    </w:p>
    <w:sectPr w:rsidR="00D333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999048">
    <w:abstractNumId w:val="8"/>
  </w:num>
  <w:num w:numId="2" w16cid:durableId="1196583735">
    <w:abstractNumId w:val="6"/>
  </w:num>
  <w:num w:numId="3" w16cid:durableId="885875178">
    <w:abstractNumId w:val="5"/>
  </w:num>
  <w:num w:numId="4" w16cid:durableId="362944093">
    <w:abstractNumId w:val="4"/>
  </w:num>
  <w:num w:numId="5" w16cid:durableId="1761291239">
    <w:abstractNumId w:val="7"/>
  </w:num>
  <w:num w:numId="6" w16cid:durableId="252593338">
    <w:abstractNumId w:val="3"/>
  </w:num>
  <w:num w:numId="7" w16cid:durableId="1251811344">
    <w:abstractNumId w:val="2"/>
  </w:num>
  <w:num w:numId="8" w16cid:durableId="2033875862">
    <w:abstractNumId w:val="1"/>
  </w:num>
  <w:num w:numId="9" w16cid:durableId="25902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51CE"/>
    <w:rsid w:val="00CB0664"/>
    <w:rsid w:val="00D33367"/>
    <w:rsid w:val="00FC693F"/>
    <w:rsid w:val="00FD5D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4A00E"/>
  <w14:defaultImageDpi w14:val="300"/>
  <w15:docId w15:val="{B7C12A08-CE56-C744-BD15-AAD0D770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Struppe</cp:lastModifiedBy>
  <cp:revision>2</cp:revision>
  <dcterms:created xsi:type="dcterms:W3CDTF">2013-12-23T23:15:00Z</dcterms:created>
  <dcterms:modified xsi:type="dcterms:W3CDTF">2026-07-21T17:00:00Z</dcterms:modified>
  <cp:category/>
</cp:coreProperties>
</file>