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Qubit Broad Range RNA Quantification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Protocol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Written by M. Studivan</w:t>
      </w:r>
    </w:p>
    <w:p w:rsidR="00000000" w:rsidDel="00000000" w:rsidP="00000000" w:rsidRDefault="00000000" w:rsidRPr="00000000" w14:paraId="0000000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Updated: 09.12.23 M. Studivan</w:t>
      </w:r>
    </w:p>
    <w:p w:rsidR="00000000" w:rsidDel="00000000" w:rsidP="00000000" w:rsidRDefault="00000000" w:rsidRPr="00000000" w14:paraId="00000005">
      <w:pPr>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numPr>
          <w:ilvl w:val="0"/>
          <w:numId w:val="1"/>
        </w:numPr>
        <w:spacing w:after="120" w:line="276" w:lineRule="auto"/>
        <w:ind w:left="720" w:hanging="360"/>
        <w:rPr>
          <w:rFonts w:ascii="ArialMT" w:cs="ArialMT" w:eastAsia="ArialMT" w:hAnsi="ArialMT"/>
          <w:sz w:val="22"/>
          <w:szCs w:val="22"/>
        </w:rPr>
      </w:pPr>
      <w:r w:rsidDel="00000000" w:rsidR="00000000" w:rsidRPr="00000000">
        <w:rPr>
          <w:rFonts w:ascii="Arial" w:cs="Arial" w:eastAsia="Arial" w:hAnsi="Arial"/>
          <w:sz w:val="22"/>
          <w:szCs w:val="22"/>
          <w:rtl w:val="0"/>
        </w:rPr>
        <w:t xml:space="preserve">Thaw Qubit Standards 1 and 2 at room temperature for 30-60min.</w:t>
      </w:r>
    </w:p>
    <w:p w:rsidR="00000000" w:rsidDel="00000000" w:rsidP="00000000" w:rsidRDefault="00000000" w:rsidRPr="00000000" w14:paraId="00000007">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Label the required number of 0.5 mL Qubit tubes, including 2 tubes for standards.</w:t>
      </w:r>
    </w:p>
    <w:p w:rsidR="00000000" w:rsidDel="00000000" w:rsidP="00000000" w:rsidRDefault="00000000" w:rsidRPr="00000000" w14:paraId="00000008">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Prepare the Qubit working solution by diluting the BR Reagent 1:200 in Buffer. To calculate the total volume required, multiply the number of tubes by 200 µL. For 24 samples (a full round of extractions), add 27 µL reagent to 5373 µL buffer.</w:t>
      </w:r>
    </w:p>
    <w:p w:rsidR="00000000" w:rsidDel="00000000" w:rsidP="00000000" w:rsidRDefault="00000000" w:rsidRPr="00000000" w14:paraId="00000009">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Optional: Use the </w:t>
      </w:r>
      <w:r w:rsidDel="00000000" w:rsidR="00000000" w:rsidRPr="00000000">
        <w:rPr>
          <w:rFonts w:ascii="Arial" w:cs="Arial" w:eastAsia="Arial" w:hAnsi="Arial"/>
          <w:b w:val="1"/>
          <w:sz w:val="22"/>
          <w:szCs w:val="22"/>
          <w:rtl w:val="0"/>
        </w:rPr>
        <w:t xml:space="preserve">Reagent Calculator</w:t>
      </w:r>
      <w:r w:rsidDel="00000000" w:rsidR="00000000" w:rsidRPr="00000000">
        <w:rPr>
          <w:rFonts w:ascii="Arial" w:cs="Arial" w:eastAsia="Arial" w:hAnsi="Arial"/>
          <w:sz w:val="22"/>
          <w:szCs w:val="22"/>
          <w:rtl w:val="0"/>
        </w:rPr>
        <w:t xml:space="preserve"> on the Qubit 4 to determine the Qubit working solution dilution and total volume.</w:t>
      </w:r>
    </w:p>
    <w:p w:rsidR="00000000" w:rsidDel="00000000" w:rsidP="00000000" w:rsidRDefault="00000000" w:rsidRPr="00000000" w14:paraId="0000000A">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190 µL of Qubit working solution to each of the 2 standard tubes.</w:t>
      </w:r>
    </w:p>
    <w:p w:rsidR="00000000" w:rsidDel="00000000" w:rsidP="00000000" w:rsidRDefault="00000000" w:rsidRPr="00000000" w14:paraId="0000000B">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10 µL of each Qubit standard to the respective tube, then mix by vortexing 2-3 sec.</w:t>
      </w:r>
    </w:p>
    <w:p w:rsidR="00000000" w:rsidDel="00000000" w:rsidP="00000000" w:rsidRDefault="00000000" w:rsidRPr="00000000" w14:paraId="0000000C">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198 µL of Qubit working solution to each of the sample tubes.</w:t>
      </w:r>
    </w:p>
    <w:p w:rsidR="00000000" w:rsidDel="00000000" w:rsidP="00000000" w:rsidRDefault="00000000" w:rsidRPr="00000000" w14:paraId="0000000D">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2 µL of each sample extract to the respective tube, quick spin down, mix by vortexing 2-3 sec, and repeat quick spin. </w:t>
      </w:r>
    </w:p>
    <w:p w:rsidR="00000000" w:rsidDel="00000000" w:rsidP="00000000" w:rsidRDefault="00000000" w:rsidRPr="00000000" w14:paraId="0000000E">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Incubate all tubes at room temperature for 2 min.</w:t>
      </w:r>
    </w:p>
    <w:p w:rsidR="00000000" w:rsidDel="00000000" w:rsidP="00000000" w:rsidRDefault="00000000" w:rsidRPr="00000000" w14:paraId="0000000F">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 the Qubit, select the </w:t>
      </w:r>
      <w:r w:rsidDel="00000000" w:rsidR="00000000" w:rsidRPr="00000000">
        <w:rPr>
          <w:rFonts w:ascii="Arial" w:cs="Arial" w:eastAsia="Arial" w:hAnsi="Arial"/>
          <w:b w:val="1"/>
          <w:sz w:val="22"/>
          <w:szCs w:val="22"/>
          <w:rtl w:val="0"/>
        </w:rPr>
        <w:t xml:space="preserve">assay type</w:t>
      </w:r>
      <w:r w:rsidDel="00000000" w:rsidR="00000000" w:rsidRPr="00000000">
        <w:rPr>
          <w:rFonts w:ascii="Arial" w:cs="Arial" w:eastAsia="Arial" w:hAnsi="Arial"/>
          <w:sz w:val="22"/>
          <w:szCs w:val="22"/>
          <w:rtl w:val="0"/>
        </w:rPr>
        <w:t xml:space="preserve"> (RNA: Broad range).</w:t>
      </w:r>
    </w:p>
    <w:p w:rsidR="00000000" w:rsidDel="00000000" w:rsidP="00000000" w:rsidRDefault="00000000" w:rsidRPr="00000000" w14:paraId="00000010">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w:t>
      </w:r>
      <w:r w:rsidDel="00000000" w:rsidR="00000000" w:rsidRPr="00000000">
        <w:rPr>
          <w:rFonts w:ascii="Arial" w:cs="Arial" w:eastAsia="Arial" w:hAnsi="Arial"/>
          <w:b w:val="1"/>
          <w:sz w:val="22"/>
          <w:szCs w:val="22"/>
          <w:rtl w:val="0"/>
        </w:rPr>
        <w:t xml:space="preserve">Read standards</w:t>
      </w:r>
      <w:r w:rsidDel="00000000" w:rsidR="00000000" w:rsidRPr="00000000">
        <w:rPr>
          <w:rFonts w:ascii="Arial" w:cs="Arial" w:eastAsia="Arial" w:hAnsi="Arial"/>
          <w:sz w:val="22"/>
          <w:szCs w:val="22"/>
          <w:rtl w:val="0"/>
        </w:rPr>
        <w:t xml:space="preserve">, insert Standard 1, the select Read standard. Repeat for Standard 2.</w:t>
      </w:r>
    </w:p>
    <w:p w:rsidR="00000000" w:rsidDel="00000000" w:rsidP="00000000" w:rsidRDefault="00000000" w:rsidRPr="00000000" w14:paraId="00000011">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w:t>
      </w:r>
      <w:r w:rsidDel="00000000" w:rsidR="00000000" w:rsidRPr="00000000">
        <w:rPr>
          <w:rFonts w:ascii="Arial" w:cs="Arial" w:eastAsia="Arial" w:hAnsi="Arial"/>
          <w:b w:val="1"/>
          <w:sz w:val="22"/>
          <w:szCs w:val="22"/>
          <w:rtl w:val="0"/>
        </w:rPr>
        <w:t xml:space="preserve">Run samples</w:t>
      </w:r>
      <w:r w:rsidDel="00000000" w:rsidR="00000000" w:rsidRPr="00000000">
        <w:rPr>
          <w:rFonts w:ascii="Arial" w:cs="Arial" w:eastAsia="Arial" w:hAnsi="Arial"/>
          <w:sz w:val="22"/>
          <w:szCs w:val="22"/>
          <w:rtl w:val="0"/>
        </w:rPr>
        <w:t xml:space="preserve">, select a sample volume of 2 µL, and set the output concentration to ng/µL.</w:t>
      </w:r>
    </w:p>
    <w:p w:rsidR="00000000" w:rsidDel="00000000" w:rsidP="00000000" w:rsidRDefault="00000000" w:rsidRPr="00000000" w14:paraId="00000012">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Insert a sample tube and select </w:t>
      </w:r>
      <w:r w:rsidDel="00000000" w:rsidR="00000000" w:rsidRPr="00000000">
        <w:rPr>
          <w:rFonts w:ascii="Arial" w:cs="Arial" w:eastAsia="Arial" w:hAnsi="Arial"/>
          <w:b w:val="1"/>
          <w:sz w:val="22"/>
          <w:szCs w:val="22"/>
          <w:rtl w:val="0"/>
        </w:rPr>
        <w:t xml:space="preserve">Read tube</w:t>
      </w:r>
      <w:r w:rsidDel="00000000" w:rsidR="00000000" w:rsidRPr="00000000">
        <w:rPr>
          <w:rFonts w:ascii="Arial" w:cs="Arial" w:eastAsia="Arial" w:hAnsi="Arial"/>
          <w:sz w:val="22"/>
          <w:szCs w:val="22"/>
          <w:rtl w:val="0"/>
        </w:rPr>
        <w:t xml:space="preserve">. The screen will display the original concentration, as well as the diluted concentration. Repeat for all remaining samples.</w:t>
      </w:r>
    </w:p>
    <w:p w:rsidR="00000000" w:rsidDel="00000000" w:rsidP="00000000" w:rsidRDefault="00000000" w:rsidRPr="00000000" w14:paraId="00000013">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Wait 30-60 min, then repeat steps 11-14, for a total of 3 sample runs.</w:t>
      </w:r>
    </w:p>
    <w:p w:rsidR="00000000" w:rsidDel="00000000" w:rsidP="00000000" w:rsidRDefault="00000000" w:rsidRPr="00000000" w14:paraId="00000014">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With the USB inserted, select </w:t>
      </w:r>
      <w:r w:rsidDel="00000000" w:rsidR="00000000" w:rsidRPr="00000000">
        <w:rPr>
          <w:rFonts w:ascii="Arial" w:cs="Arial" w:eastAsia="Arial" w:hAnsi="Arial"/>
          <w:b w:val="1"/>
          <w:sz w:val="22"/>
          <w:szCs w:val="22"/>
          <w:rtl w:val="0"/>
        </w:rPr>
        <w:t xml:space="preserve">Data</w:t>
      </w:r>
      <w:r w:rsidDel="00000000" w:rsidR="00000000" w:rsidRPr="00000000">
        <w:rPr>
          <w:rFonts w:ascii="Arial" w:cs="Arial" w:eastAsia="Arial" w:hAnsi="Arial"/>
          <w:sz w:val="22"/>
          <w:szCs w:val="22"/>
          <w:rtl w:val="0"/>
        </w:rPr>
        <w:t xml:space="preserve">, then select and </w:t>
      </w:r>
      <w:r w:rsidDel="00000000" w:rsidR="00000000" w:rsidRPr="00000000">
        <w:rPr>
          <w:rFonts w:ascii="Arial" w:cs="Arial" w:eastAsia="Arial" w:hAnsi="Arial"/>
          <w:b w:val="1"/>
          <w:sz w:val="22"/>
          <w:szCs w:val="22"/>
          <w:rtl w:val="0"/>
        </w:rPr>
        <w:t xml:space="preserve">Export</w:t>
      </w:r>
      <w:r w:rsidDel="00000000" w:rsidR="00000000" w:rsidRPr="00000000">
        <w:rPr>
          <w:rFonts w:ascii="Arial" w:cs="Arial" w:eastAsia="Arial" w:hAnsi="Arial"/>
          <w:sz w:val="22"/>
          <w:szCs w:val="22"/>
          <w:rtl w:val="0"/>
        </w:rPr>
        <w:t xml:space="preserve"> the datasets.</w:t>
      </w:r>
    </w:p>
    <w:p w:rsidR="00000000" w:rsidDel="00000000" w:rsidP="00000000" w:rsidRDefault="00000000" w:rsidRPr="00000000" w14:paraId="00000015">
      <w:pPr>
        <w:spacing w:after="120" w:before="280" w:line="276" w:lineRule="auto"/>
        <w:rPr>
          <w:rFonts w:ascii="ArialMT" w:cs="ArialMT" w:eastAsia="ArialMT" w:hAnsi="ArialMT"/>
          <w:sz w:val="22"/>
          <w:szCs w:val="22"/>
        </w:rPr>
      </w:pPr>
      <w:r w:rsidDel="00000000" w:rsidR="00000000" w:rsidRPr="00000000">
        <w:rPr>
          <w:rtl w:val="0"/>
        </w:rPr>
      </w:r>
    </w:p>
    <w:p w:rsidR="00000000" w:rsidDel="00000000" w:rsidP="00000000" w:rsidRDefault="00000000" w:rsidRPr="00000000" w14:paraId="00000016">
      <w:pPr>
        <w:spacing w:after="120" w:before="280" w:line="276" w:lineRule="auto"/>
        <w:rPr>
          <w:rFonts w:ascii="ArialMT" w:cs="ArialMT" w:eastAsia="ArialMT" w:hAnsi="ArialMT"/>
          <w:b w:val="1"/>
          <w:sz w:val="22"/>
          <w:szCs w:val="22"/>
        </w:rPr>
      </w:pPr>
      <w:r w:rsidDel="00000000" w:rsidR="00000000" w:rsidRPr="00000000">
        <w:rPr>
          <w:rFonts w:ascii="ArialMT" w:cs="ArialMT" w:eastAsia="ArialMT" w:hAnsi="ArialMT"/>
          <w:b w:val="1"/>
          <w:sz w:val="22"/>
          <w:szCs w:val="22"/>
          <w:rtl w:val="0"/>
        </w:rPr>
        <w:t xml:space="preserve">Qubit Tube Prep:</w:t>
      </w:r>
    </w:p>
    <w:p w:rsidR="00000000" w:rsidDel="00000000" w:rsidP="00000000" w:rsidRDefault="00000000" w:rsidRPr="00000000" w14:paraId="00000017">
      <w:pPr>
        <w:spacing w:after="120" w:before="280" w:line="276" w:lineRule="auto"/>
        <w:rPr>
          <w:rFonts w:ascii="ArialMT" w:cs="ArialMT" w:eastAsia="ArialMT" w:hAnsi="ArialMT"/>
          <w:sz w:val="22"/>
          <w:szCs w:val="22"/>
        </w:rPr>
      </w:pPr>
      <w:r w:rsidDel="00000000" w:rsidR="00000000" w:rsidRPr="00000000">
        <w:rPr>
          <w:rFonts w:ascii="ArialMT" w:cs="ArialMT" w:eastAsia="ArialMT" w:hAnsi="ArialMT"/>
          <w:sz w:val="22"/>
          <w:szCs w:val="22"/>
          <w:rtl w:val="0"/>
        </w:rPr>
        <w:t xml:space="preserve">0.5 mL Qubit assay tubes (+2 for standards)</w:t>
      </w:r>
    </w:p>
    <w:p w:rsidR="00000000" w:rsidDel="00000000" w:rsidP="00000000" w:rsidRDefault="00000000" w:rsidRPr="00000000" w14:paraId="00000018">
      <w:pPr>
        <w:spacing w:after="120" w:before="280" w:line="276" w:lineRule="auto"/>
        <w:rPr>
          <w:rFonts w:ascii="ArialMT" w:cs="ArialMT" w:eastAsia="ArialMT" w:hAnsi="ArialMT"/>
          <w:sz w:val="22"/>
          <w:szCs w:val="22"/>
        </w:rPr>
      </w:pPr>
      <w:r w:rsidDel="00000000" w:rsidR="00000000" w:rsidRPr="00000000">
        <w:rPr>
          <w:rFonts w:ascii="ArialMT" w:cs="ArialMT" w:eastAsia="ArialMT" w:hAnsi="ArialMT"/>
          <w:sz w:val="22"/>
          <w:szCs w:val="22"/>
          <w:rtl w:val="0"/>
        </w:rPr>
        <w:t xml:space="preserve">15 mL Falcon tube for Qubit working solution</w:t>
      </w:r>
    </w:p>
    <w:sectPr>
      <w:pgSz w:h="15840" w:w="12240" w:orient="portrait"/>
      <w:pgMar w:bottom="1440" w:top="144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0B67"/>
    <w:pPr>
      <w:spacing w:after="0" w:line="240" w:lineRule="auto"/>
    </w:pPr>
    <w:rPr>
      <w:rFonts w:ascii="Times New Roman" w:cs="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B7C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B65D0"/>
    <w:pPr>
      <w:ind w:left="720"/>
      <w:contextualSpacing w:val="1"/>
    </w:pPr>
  </w:style>
  <w:style w:type="character" w:styleId="Hyperlink">
    <w:name w:val="Hyperlink"/>
    <w:basedOn w:val="DefaultParagraphFont"/>
    <w:uiPriority w:val="99"/>
    <w:unhideWhenUsed w:val="1"/>
    <w:rsid w:val="006E4046"/>
    <w:rPr>
      <w:color w:val="0563c1" w:themeColor="hyperlink"/>
      <w:u w:val="single"/>
    </w:rPr>
  </w:style>
  <w:style w:type="character" w:styleId="FollowedHyperlink">
    <w:name w:val="FollowedHyperlink"/>
    <w:basedOn w:val="DefaultParagraphFont"/>
    <w:uiPriority w:val="99"/>
    <w:semiHidden w:val="1"/>
    <w:unhideWhenUsed w:val="1"/>
    <w:rsid w:val="00036C42"/>
    <w:rPr>
      <w:color w:val="954f72" w:themeColor="followedHyperlink"/>
      <w:u w:val="single"/>
    </w:rPr>
  </w:style>
  <w:style w:type="character" w:styleId="CommentReference">
    <w:name w:val="annotation reference"/>
    <w:basedOn w:val="DefaultParagraphFont"/>
    <w:uiPriority w:val="99"/>
    <w:semiHidden w:val="1"/>
    <w:unhideWhenUsed w:val="1"/>
    <w:rsid w:val="0063358E"/>
    <w:rPr>
      <w:sz w:val="16"/>
      <w:szCs w:val="16"/>
    </w:rPr>
  </w:style>
  <w:style w:type="paragraph" w:styleId="CommentText">
    <w:name w:val="annotation text"/>
    <w:basedOn w:val="Normal"/>
    <w:link w:val="CommentTextChar"/>
    <w:uiPriority w:val="99"/>
    <w:semiHidden w:val="1"/>
    <w:unhideWhenUsed w:val="1"/>
    <w:rsid w:val="0063358E"/>
    <w:rPr>
      <w:sz w:val="20"/>
      <w:szCs w:val="20"/>
    </w:rPr>
  </w:style>
  <w:style w:type="character" w:styleId="CommentTextChar" w:customStyle="1">
    <w:name w:val="Comment Text Char"/>
    <w:basedOn w:val="DefaultParagraphFont"/>
    <w:link w:val="CommentText"/>
    <w:uiPriority w:val="99"/>
    <w:semiHidden w:val="1"/>
    <w:rsid w:val="0063358E"/>
    <w:rPr>
      <w:rFonts w:ascii="Times New Roman" w:cs="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3358E"/>
    <w:rPr>
      <w:b w:val="1"/>
      <w:bCs w:val="1"/>
    </w:rPr>
  </w:style>
  <w:style w:type="character" w:styleId="CommentSubjectChar" w:customStyle="1">
    <w:name w:val="Comment Subject Char"/>
    <w:basedOn w:val="CommentTextChar"/>
    <w:link w:val="CommentSubject"/>
    <w:uiPriority w:val="99"/>
    <w:semiHidden w:val="1"/>
    <w:rsid w:val="0063358E"/>
    <w:rPr>
      <w:rFonts w:ascii="Times New Roman" w:cs="Times New Roman" w:hAnsi="Times New Roman"/>
      <w:b w:val="1"/>
      <w:bCs w:val="1"/>
      <w:sz w:val="20"/>
      <w:szCs w:val="20"/>
    </w:rPr>
  </w:style>
  <w:style w:type="paragraph" w:styleId="BalloonText">
    <w:name w:val="Balloon Text"/>
    <w:basedOn w:val="Normal"/>
    <w:link w:val="BalloonTextChar"/>
    <w:uiPriority w:val="99"/>
    <w:semiHidden w:val="1"/>
    <w:unhideWhenUsed w:val="1"/>
    <w:rsid w:val="0063358E"/>
    <w:rPr>
      <w:sz w:val="18"/>
      <w:szCs w:val="18"/>
    </w:rPr>
  </w:style>
  <w:style w:type="character" w:styleId="BalloonTextChar" w:customStyle="1">
    <w:name w:val="Balloon Text Char"/>
    <w:basedOn w:val="DefaultParagraphFont"/>
    <w:link w:val="BalloonText"/>
    <w:uiPriority w:val="99"/>
    <w:semiHidden w:val="1"/>
    <w:rsid w:val="0063358E"/>
    <w:rPr>
      <w:rFonts w:ascii="Times New Roman" w:cs="Times New Roman" w:hAnsi="Times New Roman"/>
      <w:sz w:val="18"/>
      <w:szCs w:val="18"/>
    </w:rPr>
  </w:style>
  <w:style w:type="paragraph" w:styleId="NormalWeb">
    <w:name w:val="Normal (Web)"/>
    <w:basedOn w:val="Normal"/>
    <w:uiPriority w:val="99"/>
    <w:unhideWhenUsed w:val="1"/>
    <w:rsid w:val="00EB3D43"/>
    <w:pPr>
      <w:spacing w:after="100" w:afterAutospacing="1" w:before="100" w:beforeAutospacing="1"/>
    </w:pPr>
    <w:rPr>
      <w:rFonts w:eastAsia="Times New Roman"/>
    </w:rPr>
  </w:style>
  <w:style w:type="paragraph" w:styleId="Header">
    <w:name w:val="header"/>
    <w:basedOn w:val="Normal"/>
    <w:link w:val="HeaderChar"/>
    <w:uiPriority w:val="99"/>
    <w:unhideWhenUsed w:val="1"/>
    <w:rsid w:val="00CF2A9A"/>
    <w:pPr>
      <w:tabs>
        <w:tab w:val="center" w:pos="4680"/>
        <w:tab w:val="right" w:pos="9360"/>
      </w:tabs>
    </w:pPr>
  </w:style>
  <w:style w:type="character" w:styleId="HeaderChar" w:customStyle="1">
    <w:name w:val="Header Char"/>
    <w:basedOn w:val="DefaultParagraphFont"/>
    <w:link w:val="Header"/>
    <w:uiPriority w:val="99"/>
    <w:rsid w:val="00CF2A9A"/>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qArbaUGWv9XW5IulmTmgyd+mg==">CgMxLjA4AGo0ChRzdWdnZXN0LnRjMDJpN2FwcnNzYhIcVGF5bG9yIEdpbGwgLSBOT0FBIEFmZmlsaWF0ZWo0ChRzdWdnZXN0LnlvZXg1Nm9jZDUwdRIcVGF5bG9yIEdpbGwgLSBOT0FBIEFmZmlsaWF0ZXIhMVhVczhzSF9XMksxeVpLdDZOMG81eG40cno3TkJYbzNI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2020-08-23T03:03:00Z</dcterms:created>
  <dc:creator>Ashley Reaume</dc:creator>
</cp:coreProperties>
</file>