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248" w:rsidRPr="00F774CA" w:rsidRDefault="00001248" w:rsidP="00001248">
      <w:pPr>
        <w:jc w:val="center"/>
        <w:rPr>
          <w:rFonts w:ascii="Times New Roman" w:hAnsi="Times New Roman" w:cs="Times New Roman"/>
          <w:sz w:val="20"/>
          <w:szCs w:val="20"/>
        </w:rPr>
      </w:pPr>
      <w:r w:rsidRPr="00F774CA">
        <w:rPr>
          <w:rFonts w:ascii="Times New Roman" w:hAnsi="Times New Roman" w:cs="Times New Roman"/>
          <w:sz w:val="20"/>
          <w:szCs w:val="20"/>
        </w:rPr>
        <w:t>LIM-N15-BLOOFINZ-GoM</w:t>
      </w:r>
    </w:p>
    <w:p w:rsidR="00001248" w:rsidRPr="00F774CA" w:rsidRDefault="00001248">
      <w:pPr>
        <w:rPr>
          <w:rFonts w:ascii="Times New Roman" w:hAnsi="Times New Roman" w:cs="Times New Roman"/>
          <w:b w:val="0"/>
          <w:sz w:val="20"/>
          <w:szCs w:val="20"/>
        </w:rPr>
      </w:pPr>
      <w:r w:rsidRPr="00F774CA">
        <w:rPr>
          <w:rFonts w:ascii="Times New Roman" w:hAnsi="Times New Roman" w:cs="Times New Roman"/>
          <w:b w:val="0"/>
          <w:sz w:val="20"/>
          <w:szCs w:val="20"/>
        </w:rPr>
        <w:t>This code was written to solve a linear inverse ecosystem model that includes non-linear approximate equality constraints (the δ</w:t>
      </w:r>
      <w:r w:rsidRPr="00F774CA">
        <w:rPr>
          <w:rFonts w:ascii="Times New Roman" w:hAnsi="Times New Roman" w:cs="Times New Roman"/>
          <w:b w:val="0"/>
          <w:sz w:val="20"/>
          <w:szCs w:val="20"/>
          <w:vertAlign w:val="superscript"/>
        </w:rPr>
        <w:t>15</w:t>
      </w:r>
      <w:r w:rsidRPr="00F774CA">
        <w:rPr>
          <w:rFonts w:ascii="Times New Roman" w:hAnsi="Times New Roman" w:cs="Times New Roman"/>
          <w:b w:val="0"/>
          <w:sz w:val="20"/>
          <w:szCs w:val="20"/>
        </w:rPr>
        <w:t>N of each model compartment).  It uses a Markov Chain Monte Carlo approach adapted from the MCMC+</w:t>
      </w:r>
      <w:r w:rsidRPr="00F774CA">
        <w:rPr>
          <w:rFonts w:ascii="Times New Roman" w:hAnsi="Times New Roman" w:cs="Times New Roman"/>
          <w:b w:val="0"/>
          <w:sz w:val="20"/>
          <w:szCs w:val="20"/>
          <w:vertAlign w:val="superscript"/>
        </w:rPr>
        <w:t>15</w:t>
      </w:r>
      <w:r w:rsidRPr="00F774CA">
        <w:rPr>
          <w:rFonts w:ascii="Times New Roman" w:hAnsi="Times New Roman" w:cs="Times New Roman"/>
          <w:b w:val="0"/>
          <w:sz w:val="20"/>
          <w:szCs w:val="20"/>
        </w:rPr>
        <w:t xml:space="preserve">N approach developed in </w:t>
      </w:r>
      <w:proofErr w:type="spellStart"/>
      <w:r w:rsidRPr="00F774CA">
        <w:rPr>
          <w:rFonts w:ascii="Times New Roman" w:hAnsi="Times New Roman" w:cs="Times New Roman"/>
          <w:b w:val="0"/>
          <w:sz w:val="20"/>
          <w:szCs w:val="20"/>
        </w:rPr>
        <w:t>Stukel</w:t>
      </w:r>
      <w:proofErr w:type="spellEnd"/>
      <w:r w:rsidRPr="00F774CA">
        <w:rPr>
          <w:rFonts w:ascii="Times New Roman" w:hAnsi="Times New Roman" w:cs="Times New Roman"/>
          <w:b w:val="0"/>
          <w:sz w:val="20"/>
          <w:szCs w:val="20"/>
        </w:rPr>
        <w:t xml:space="preserve"> et al. </w:t>
      </w:r>
      <w:r w:rsidRPr="00F774CA">
        <w:rPr>
          <w:rFonts w:ascii="Times New Roman" w:hAnsi="Times New Roman" w:cs="Times New Roman"/>
          <w:b w:val="0"/>
          <w:sz w:val="20"/>
          <w:szCs w:val="20"/>
        </w:rPr>
        <w:fldChar w:fldCharType="begin"/>
      </w:r>
      <w:r w:rsidRPr="00F774CA">
        <w:rPr>
          <w:rFonts w:ascii="Times New Roman" w:hAnsi="Times New Roman" w:cs="Times New Roman"/>
          <w:b w:val="0"/>
          <w:sz w:val="20"/>
          <w:szCs w:val="20"/>
        </w:rPr>
        <w:instrText xml:space="preserve"> ADDIN EN.CITE &lt;EndNote&gt;&lt;Cite ExcludeAuth="1"&gt;&lt;Author&gt;Stukel&lt;/Author&gt;&lt;Year&gt;2018&lt;/Year&gt;&lt;RecNum&gt;4003&lt;/RecNum&gt;&lt;DisplayText&gt;(2018a)&lt;/DisplayText&gt;&lt;record&gt;&lt;rec-number&gt;4003&lt;/rec-number&gt;&lt;foreign-keys&gt;&lt;key app="EN" db-id="pdf0vt00zdwazbete5tvsv00552aw0pz99af"&gt;4003&lt;/key&gt;&lt;/foreign-keys&gt;&lt;ref-type name="Journal Article"&gt;17&lt;/ref-type&gt;&lt;contributors&gt;&lt;authors&gt;&lt;author&gt;Stukel, M. R.&lt;/author&gt;&lt;author&gt;Décima, M.&lt;/author&gt;&lt;author&gt;Kelly, T. B.&lt;/author&gt;&lt;/authors&gt;&lt;/contributors&gt;&lt;titles&gt;&lt;title&gt;A new approach for incorporating 15N isotopic data into linear inverse ecosystem models with Markov Chain Monte Carlo sampling&lt;/title&gt;&lt;secondary-title&gt;PloS one&lt;/secondary-title&gt;&lt;/titles&gt;&lt;periodical&gt;&lt;full-title&gt;PloS one&lt;/full-title&gt;&lt;/periodical&gt;&lt;pages&gt;e0199123&lt;/pages&gt;&lt;volume&gt;13&lt;/volume&gt;&lt;number&gt;6&lt;/number&gt;&lt;dates&gt;&lt;year&gt;2018&lt;/year&gt;&lt;/dates&gt;&lt;publisher&gt;Public Library of Science&lt;/publisher&gt;&lt;urls&gt;&lt;related-urls&gt;&lt;url&gt;https://doi.org/10.1371/journal.pone.0199123&lt;/url&gt;&lt;/related-urls&gt;&lt;/urls&gt;&lt;electronic-resource-num&gt;10.1371/journal.pone.0199123&lt;/electronic-resource-num&gt;&lt;/record&gt;&lt;/Cite&gt;&lt;/EndNote&gt;</w:instrText>
      </w:r>
      <w:r w:rsidRPr="00F774CA">
        <w:rPr>
          <w:rFonts w:ascii="Times New Roman" w:hAnsi="Times New Roman" w:cs="Times New Roman"/>
          <w:b w:val="0"/>
          <w:sz w:val="20"/>
          <w:szCs w:val="20"/>
        </w:rPr>
        <w:fldChar w:fldCharType="separate"/>
      </w:r>
      <w:r w:rsidRPr="00F774CA">
        <w:rPr>
          <w:rFonts w:ascii="Times New Roman" w:hAnsi="Times New Roman" w:cs="Times New Roman"/>
          <w:b w:val="0"/>
          <w:noProof/>
          <w:sz w:val="20"/>
          <w:szCs w:val="20"/>
        </w:rPr>
        <w:t>(</w:t>
      </w:r>
      <w:hyperlink w:anchor="_ENREF_1" w:tooltip="Stukel, 2018 #4003" w:history="1">
        <w:r w:rsidR="00F774CA" w:rsidRPr="00F774CA">
          <w:rPr>
            <w:rFonts w:ascii="Times New Roman" w:hAnsi="Times New Roman" w:cs="Times New Roman"/>
            <w:b w:val="0"/>
            <w:noProof/>
            <w:sz w:val="20"/>
            <w:szCs w:val="20"/>
          </w:rPr>
          <w:t>2018a</w:t>
        </w:r>
      </w:hyperlink>
      <w:r w:rsidRPr="00F774CA">
        <w:rPr>
          <w:rFonts w:ascii="Times New Roman" w:hAnsi="Times New Roman" w:cs="Times New Roman"/>
          <w:b w:val="0"/>
          <w:noProof/>
          <w:sz w:val="20"/>
          <w:szCs w:val="20"/>
        </w:rPr>
        <w:t>)</w:t>
      </w:r>
      <w:r w:rsidRPr="00F774CA">
        <w:rPr>
          <w:rFonts w:ascii="Times New Roman" w:hAnsi="Times New Roman" w:cs="Times New Roman"/>
          <w:b w:val="0"/>
          <w:sz w:val="20"/>
          <w:szCs w:val="20"/>
        </w:rPr>
        <w:fldChar w:fldCharType="end"/>
      </w:r>
      <w:r w:rsidRPr="00F774CA">
        <w:rPr>
          <w:rFonts w:ascii="Times New Roman" w:hAnsi="Times New Roman" w:cs="Times New Roman"/>
          <w:b w:val="0"/>
          <w:sz w:val="20"/>
          <w:szCs w:val="20"/>
        </w:rPr>
        <w:t>.  The MCMC+</w:t>
      </w:r>
      <w:r w:rsidRPr="00F774CA">
        <w:rPr>
          <w:rFonts w:ascii="Times New Roman" w:hAnsi="Times New Roman" w:cs="Times New Roman"/>
          <w:b w:val="0"/>
          <w:sz w:val="20"/>
          <w:szCs w:val="20"/>
          <w:vertAlign w:val="superscript"/>
        </w:rPr>
        <w:t>15</w:t>
      </w:r>
      <w:r w:rsidRPr="00F774CA">
        <w:rPr>
          <w:rFonts w:ascii="Times New Roman" w:hAnsi="Times New Roman" w:cs="Times New Roman"/>
          <w:b w:val="0"/>
          <w:sz w:val="20"/>
          <w:szCs w:val="20"/>
        </w:rPr>
        <w:t xml:space="preserve">N, approach was itself an adaptation of the MCMC approach of Van Den </w:t>
      </w:r>
      <w:proofErr w:type="spellStart"/>
      <w:r w:rsidRPr="00F774CA">
        <w:rPr>
          <w:rFonts w:ascii="Times New Roman" w:hAnsi="Times New Roman" w:cs="Times New Roman"/>
          <w:b w:val="0"/>
          <w:sz w:val="20"/>
          <w:szCs w:val="20"/>
        </w:rPr>
        <w:t>Meersche</w:t>
      </w:r>
      <w:proofErr w:type="spellEnd"/>
      <w:r w:rsidRPr="00F774CA">
        <w:rPr>
          <w:rFonts w:ascii="Times New Roman" w:hAnsi="Times New Roman" w:cs="Times New Roman"/>
          <w:b w:val="0"/>
          <w:sz w:val="20"/>
          <w:szCs w:val="20"/>
        </w:rPr>
        <w:t xml:space="preserve"> et al.  </w:t>
      </w:r>
      <w:r w:rsidRPr="00F774CA">
        <w:rPr>
          <w:rFonts w:ascii="Times New Roman" w:hAnsi="Times New Roman" w:cs="Times New Roman"/>
          <w:b w:val="0"/>
          <w:sz w:val="20"/>
          <w:szCs w:val="20"/>
        </w:rPr>
        <w:fldChar w:fldCharType="begin"/>
      </w:r>
      <w:r w:rsidRPr="00F774CA">
        <w:rPr>
          <w:rFonts w:ascii="Times New Roman" w:hAnsi="Times New Roman" w:cs="Times New Roman"/>
          <w:b w:val="0"/>
          <w:sz w:val="20"/>
          <w:szCs w:val="20"/>
        </w:rPr>
        <w:instrText xml:space="preserve"> ADDIN EN.CITE &lt;EndNote&gt;&lt;Cite ExcludeAuth="1"&gt;&lt;Author&gt;Van den Meersche&lt;/Author&gt;&lt;Year&gt;2009&lt;/Year&gt;&lt;RecNum&gt;542&lt;/RecNum&gt;&lt;DisplayText&gt;(2009)&lt;/DisplayText&gt;&lt;record&gt;&lt;rec-number&gt;542&lt;/rec-number&gt;&lt;foreign-keys&gt;&lt;key app="EN" db-id="pdf0vt00zdwazbete5tvsv00552aw0pz99af"&gt;542&lt;/key&gt;&lt;/foreign-keys&gt;&lt;ref-type name="Journal Article"&gt;17&lt;/ref-type&gt;&lt;contributors&gt;&lt;authors&gt;&lt;author&gt;Van den Meersche, K.&lt;/author&gt;&lt;author&gt;Soetaert, K.&lt;/author&gt;&lt;author&gt;Van Oevelen, D.&lt;/author&gt;&lt;/authors&gt;&lt;/contributors&gt;&lt;titles&gt;&lt;title&gt;xSample(): An R function for sampling linear inverse problems&lt;/title&gt;&lt;secondary-title&gt;Journal of Statistal Software, Code Snippets&lt;/secondary-title&gt;&lt;/titles&gt;&lt;pages&gt;1-15&lt;/pages&gt;&lt;volume&gt;30&lt;/volume&gt;&lt;number&gt;1&lt;/number&gt;&lt;dates&gt;&lt;year&gt;2009&lt;/year&gt;&lt;/dates&gt;&lt;urls&gt;&lt;/urls&gt;&lt;/record&gt;&lt;/Cite&gt;&lt;/EndNote&gt;</w:instrText>
      </w:r>
      <w:r w:rsidRPr="00F774CA">
        <w:rPr>
          <w:rFonts w:ascii="Times New Roman" w:hAnsi="Times New Roman" w:cs="Times New Roman"/>
          <w:b w:val="0"/>
          <w:sz w:val="20"/>
          <w:szCs w:val="20"/>
        </w:rPr>
        <w:fldChar w:fldCharType="separate"/>
      </w:r>
      <w:r w:rsidRPr="00F774CA">
        <w:rPr>
          <w:rFonts w:ascii="Times New Roman" w:hAnsi="Times New Roman" w:cs="Times New Roman"/>
          <w:b w:val="0"/>
          <w:noProof/>
          <w:sz w:val="20"/>
          <w:szCs w:val="20"/>
        </w:rPr>
        <w:t>(</w:t>
      </w:r>
      <w:hyperlink w:anchor="_ENREF_5" w:tooltip="Van den Meersche, 2009 #542" w:history="1">
        <w:r w:rsidR="00F774CA" w:rsidRPr="00F774CA">
          <w:rPr>
            <w:rFonts w:ascii="Times New Roman" w:hAnsi="Times New Roman" w:cs="Times New Roman"/>
            <w:b w:val="0"/>
            <w:noProof/>
            <w:sz w:val="20"/>
            <w:szCs w:val="20"/>
          </w:rPr>
          <w:t>2009</w:t>
        </w:r>
      </w:hyperlink>
      <w:r w:rsidRPr="00F774CA">
        <w:rPr>
          <w:rFonts w:ascii="Times New Roman" w:hAnsi="Times New Roman" w:cs="Times New Roman"/>
          <w:b w:val="0"/>
          <w:noProof/>
          <w:sz w:val="20"/>
          <w:szCs w:val="20"/>
        </w:rPr>
        <w:t>)</w:t>
      </w:r>
      <w:r w:rsidRPr="00F774CA">
        <w:rPr>
          <w:rFonts w:ascii="Times New Roman" w:hAnsi="Times New Roman" w:cs="Times New Roman"/>
          <w:b w:val="0"/>
          <w:sz w:val="20"/>
          <w:szCs w:val="20"/>
        </w:rPr>
        <w:fldChar w:fldCharType="end"/>
      </w:r>
      <w:r w:rsidRPr="00F774CA">
        <w:rPr>
          <w:rFonts w:ascii="Times New Roman" w:hAnsi="Times New Roman" w:cs="Times New Roman"/>
          <w:b w:val="0"/>
          <w:sz w:val="20"/>
          <w:szCs w:val="20"/>
        </w:rPr>
        <w:t>.  The MCMC+</w:t>
      </w:r>
      <w:r w:rsidRPr="00F774CA">
        <w:rPr>
          <w:rFonts w:ascii="Times New Roman" w:hAnsi="Times New Roman" w:cs="Times New Roman"/>
          <w:b w:val="0"/>
          <w:sz w:val="20"/>
          <w:szCs w:val="20"/>
          <w:vertAlign w:val="superscript"/>
        </w:rPr>
        <w:t>15</w:t>
      </w:r>
      <w:r w:rsidRPr="00F774CA">
        <w:rPr>
          <w:rFonts w:ascii="Times New Roman" w:hAnsi="Times New Roman" w:cs="Times New Roman"/>
          <w:b w:val="0"/>
          <w:sz w:val="20"/>
          <w:szCs w:val="20"/>
        </w:rPr>
        <w:t>N approach added a second simultaneous random walk through δ</w:t>
      </w:r>
      <w:r w:rsidRPr="00F774CA">
        <w:rPr>
          <w:rFonts w:ascii="Times New Roman" w:hAnsi="Times New Roman" w:cs="Times New Roman"/>
          <w:b w:val="0"/>
          <w:sz w:val="20"/>
          <w:szCs w:val="20"/>
          <w:vertAlign w:val="superscript"/>
        </w:rPr>
        <w:t>15</w:t>
      </w:r>
      <w:r w:rsidRPr="00F774CA">
        <w:rPr>
          <w:rFonts w:ascii="Times New Roman" w:hAnsi="Times New Roman" w:cs="Times New Roman"/>
          <w:b w:val="0"/>
          <w:sz w:val="20"/>
          <w:szCs w:val="20"/>
        </w:rPr>
        <w:t xml:space="preserve">N space.  The </w:t>
      </w:r>
      <w:r w:rsidRPr="00F774CA">
        <w:rPr>
          <w:rFonts w:ascii="Times New Roman" w:hAnsi="Times New Roman" w:cs="Times New Roman"/>
          <w:b w:val="0"/>
          <w:sz w:val="20"/>
          <w:szCs w:val="20"/>
        </w:rPr>
        <w:t>δ</w:t>
      </w:r>
      <w:r w:rsidRPr="00F774CA">
        <w:rPr>
          <w:rFonts w:ascii="Times New Roman" w:hAnsi="Times New Roman" w:cs="Times New Roman"/>
          <w:b w:val="0"/>
          <w:sz w:val="20"/>
          <w:szCs w:val="20"/>
          <w:vertAlign w:val="superscript"/>
        </w:rPr>
        <w:t>15</w:t>
      </w:r>
      <w:r w:rsidRPr="00F774CA">
        <w:rPr>
          <w:rFonts w:ascii="Times New Roman" w:hAnsi="Times New Roman" w:cs="Times New Roman"/>
          <w:b w:val="0"/>
          <w:sz w:val="20"/>
          <w:szCs w:val="20"/>
        </w:rPr>
        <w:t>N</w:t>
      </w:r>
      <w:r w:rsidRPr="00F774CA">
        <w:rPr>
          <w:rFonts w:ascii="Times New Roman" w:hAnsi="Times New Roman" w:cs="Times New Roman"/>
          <w:b w:val="0"/>
          <w:sz w:val="20"/>
          <w:szCs w:val="20"/>
        </w:rPr>
        <w:t xml:space="preserve"> vector in turn affected the approximate equalities (</w:t>
      </w:r>
      <w:proofErr w:type="spellStart"/>
      <w:r w:rsidRPr="00F774CA">
        <w:rPr>
          <w:rFonts w:ascii="Times New Roman" w:hAnsi="Times New Roman" w:cs="Times New Roman"/>
          <w:b w:val="0"/>
          <w:sz w:val="20"/>
          <w:szCs w:val="20"/>
        </w:rPr>
        <w:t>Ax≈b</w:t>
      </w:r>
      <w:proofErr w:type="spellEnd"/>
      <w:r w:rsidRPr="00F774CA">
        <w:rPr>
          <w:rFonts w:ascii="Times New Roman" w:hAnsi="Times New Roman" w:cs="Times New Roman"/>
          <w:b w:val="0"/>
          <w:sz w:val="20"/>
          <w:szCs w:val="20"/>
        </w:rPr>
        <w:t xml:space="preserve">) in Van Den </w:t>
      </w:r>
      <w:proofErr w:type="spellStart"/>
      <w:r w:rsidRPr="00F774CA">
        <w:rPr>
          <w:rFonts w:ascii="Times New Roman" w:hAnsi="Times New Roman" w:cs="Times New Roman"/>
          <w:b w:val="0"/>
          <w:sz w:val="20"/>
          <w:szCs w:val="20"/>
        </w:rPr>
        <w:t>Meersche</w:t>
      </w:r>
      <w:proofErr w:type="spellEnd"/>
      <w:r w:rsidRPr="00F774CA">
        <w:rPr>
          <w:rFonts w:ascii="Times New Roman" w:hAnsi="Times New Roman" w:cs="Times New Roman"/>
          <w:b w:val="0"/>
          <w:sz w:val="20"/>
          <w:szCs w:val="20"/>
        </w:rPr>
        <w:t xml:space="preserve"> et al. </w:t>
      </w:r>
      <w:r w:rsidRPr="00F774CA">
        <w:rPr>
          <w:rFonts w:ascii="Times New Roman" w:hAnsi="Times New Roman" w:cs="Times New Roman"/>
          <w:b w:val="0"/>
          <w:sz w:val="20"/>
          <w:szCs w:val="20"/>
        </w:rPr>
        <w:fldChar w:fldCharType="begin"/>
      </w:r>
      <w:r w:rsidRPr="00F774CA">
        <w:rPr>
          <w:rFonts w:ascii="Times New Roman" w:hAnsi="Times New Roman" w:cs="Times New Roman"/>
          <w:b w:val="0"/>
          <w:sz w:val="20"/>
          <w:szCs w:val="20"/>
        </w:rPr>
        <w:instrText xml:space="preserve"> ADDIN EN.CITE &lt;EndNote&gt;&lt;Cite&gt;&lt;Author&gt;Van den Meersche&lt;/Author&gt;&lt;Year&gt;2009&lt;/Year&gt;&lt;RecNum&gt;542&lt;/RecNum&gt;&lt;DisplayText&gt;(Van den Meersche et al., 2009)&lt;/DisplayText&gt;&lt;record&gt;&lt;rec-number&gt;542&lt;/rec-number&gt;&lt;foreign-keys&gt;&lt;key app="EN" db-id="pdf0vt00zdwazbete5tvsv00552aw0pz99af"&gt;542&lt;/key&gt;&lt;/foreign-keys&gt;&lt;ref-type name="Journal Article"&gt;17&lt;/ref-type&gt;&lt;contributors&gt;&lt;authors&gt;&lt;author&gt;Van den Meersche, K.&lt;/author&gt;&lt;author&gt;Soetaert, K.&lt;/author&gt;&lt;author&gt;Van Oevelen, D.&lt;/author&gt;&lt;/authors&gt;&lt;/contributors&gt;&lt;titles&gt;&lt;title&gt;xSample(): An R function for sampling linear inverse problems&lt;/title&gt;&lt;secondary-title&gt;Journal of Statistal Software, Code Snippets&lt;/secondary-title&gt;&lt;/titles&gt;&lt;pages&gt;1-15&lt;/pages&gt;&lt;volume&gt;30&lt;/volume&gt;&lt;number&gt;1&lt;/number&gt;&lt;dates&gt;&lt;year&gt;2009&lt;/year&gt;&lt;/dates&gt;&lt;urls&gt;&lt;/urls&gt;&lt;/record&gt;&lt;/Cite&gt;&lt;/EndNote&gt;</w:instrText>
      </w:r>
      <w:r w:rsidRPr="00F774CA">
        <w:rPr>
          <w:rFonts w:ascii="Times New Roman" w:hAnsi="Times New Roman" w:cs="Times New Roman"/>
          <w:b w:val="0"/>
          <w:sz w:val="20"/>
          <w:szCs w:val="20"/>
        </w:rPr>
        <w:fldChar w:fldCharType="separate"/>
      </w:r>
      <w:r w:rsidRPr="00F774CA">
        <w:rPr>
          <w:rFonts w:ascii="Times New Roman" w:hAnsi="Times New Roman" w:cs="Times New Roman"/>
          <w:b w:val="0"/>
          <w:noProof/>
          <w:sz w:val="20"/>
          <w:szCs w:val="20"/>
        </w:rPr>
        <w:t>(</w:t>
      </w:r>
      <w:hyperlink w:anchor="_ENREF_5" w:tooltip="Van den Meersche, 2009 #542" w:history="1">
        <w:r w:rsidR="00F774CA" w:rsidRPr="00F774CA">
          <w:rPr>
            <w:rFonts w:ascii="Times New Roman" w:hAnsi="Times New Roman" w:cs="Times New Roman"/>
            <w:b w:val="0"/>
            <w:noProof/>
            <w:sz w:val="20"/>
            <w:szCs w:val="20"/>
          </w:rPr>
          <w:t>Van den Meersche et al., 2009</w:t>
        </w:r>
      </w:hyperlink>
      <w:r w:rsidRPr="00F774CA">
        <w:rPr>
          <w:rFonts w:ascii="Times New Roman" w:hAnsi="Times New Roman" w:cs="Times New Roman"/>
          <w:b w:val="0"/>
          <w:noProof/>
          <w:sz w:val="20"/>
          <w:szCs w:val="20"/>
        </w:rPr>
        <w:t>)</w:t>
      </w:r>
      <w:r w:rsidRPr="00F774CA">
        <w:rPr>
          <w:rFonts w:ascii="Times New Roman" w:hAnsi="Times New Roman" w:cs="Times New Roman"/>
          <w:b w:val="0"/>
          <w:sz w:val="20"/>
          <w:szCs w:val="20"/>
        </w:rPr>
        <w:fldChar w:fldCharType="end"/>
      </w:r>
      <w:r w:rsidRPr="00F774CA">
        <w:rPr>
          <w:rFonts w:ascii="Times New Roman" w:hAnsi="Times New Roman" w:cs="Times New Roman"/>
          <w:b w:val="0"/>
          <w:sz w:val="20"/>
          <w:szCs w:val="20"/>
        </w:rPr>
        <w:t xml:space="preserve">.  For a thorough discussion of the MCMC+15N approach, I refer readers to </w:t>
      </w:r>
      <w:proofErr w:type="spellStart"/>
      <w:r w:rsidRPr="00F774CA">
        <w:rPr>
          <w:rFonts w:ascii="Times New Roman" w:hAnsi="Times New Roman" w:cs="Times New Roman"/>
          <w:b w:val="0"/>
          <w:sz w:val="20"/>
          <w:szCs w:val="20"/>
        </w:rPr>
        <w:t>Stukel</w:t>
      </w:r>
      <w:proofErr w:type="spellEnd"/>
      <w:r w:rsidRPr="00F774CA">
        <w:rPr>
          <w:rFonts w:ascii="Times New Roman" w:hAnsi="Times New Roman" w:cs="Times New Roman"/>
          <w:b w:val="0"/>
          <w:sz w:val="20"/>
          <w:szCs w:val="20"/>
        </w:rPr>
        <w:t xml:space="preserve"> et al. </w:t>
      </w:r>
      <w:r w:rsidRPr="00F774CA">
        <w:rPr>
          <w:rFonts w:ascii="Times New Roman" w:hAnsi="Times New Roman" w:cs="Times New Roman"/>
          <w:b w:val="0"/>
          <w:sz w:val="20"/>
          <w:szCs w:val="20"/>
        </w:rPr>
        <w:fldChar w:fldCharType="begin"/>
      </w:r>
      <w:r w:rsidRPr="00F774CA">
        <w:rPr>
          <w:rFonts w:ascii="Times New Roman" w:hAnsi="Times New Roman" w:cs="Times New Roman"/>
          <w:b w:val="0"/>
          <w:sz w:val="20"/>
          <w:szCs w:val="20"/>
        </w:rPr>
        <w:instrText xml:space="preserve"> ADDIN EN.CITE &lt;EndNote&gt;&lt;Cite ExcludeAuth="1"&gt;&lt;Author&gt;Stukel&lt;/Author&gt;&lt;Year&gt;2018&lt;/Year&gt;&lt;RecNum&gt;4003&lt;/RecNum&gt;&lt;DisplayText&gt;(2018a; 2018b)&lt;/DisplayText&gt;&lt;record&gt;&lt;rec-number&gt;4003&lt;/rec-number&gt;&lt;foreign-keys&gt;&lt;key app="EN" db-id="pdf0vt00zdwazbete5tvsv00552aw0pz99af"&gt;4003&lt;/key&gt;&lt;/foreign-keys&gt;&lt;ref-type name="Journal Article"&gt;17&lt;/ref-type&gt;&lt;contributors&gt;&lt;authors&gt;&lt;author&gt;Stukel, M. R.&lt;/author&gt;&lt;author&gt;Décima, M.&lt;/author&gt;&lt;author&gt;Kelly, T. B.&lt;/author&gt;&lt;/authors&gt;&lt;/contributors&gt;&lt;titles&gt;&lt;title&gt;A new approach for incorporating 15N isotopic data into linear inverse ecosystem models with Markov Chain Monte Carlo sampling&lt;/title&gt;&lt;secondary-title&gt;PloS one&lt;/secondary-title&gt;&lt;/titles&gt;&lt;periodical&gt;&lt;full-title&gt;PloS one&lt;/full-title&gt;&lt;/periodical&gt;&lt;pages&gt;e0199123&lt;/pages&gt;&lt;volume&gt;13&lt;/volume&gt;&lt;number&gt;6&lt;/number&gt;&lt;dates&gt;&lt;year&gt;2018&lt;/year&gt;&lt;/dates&gt;&lt;publisher&gt;Public Library of Science&lt;/publisher&gt;&lt;urls&gt;&lt;related-urls&gt;&lt;url&gt;https://doi.org/10.1371/journal.pone.0199123&lt;/url&gt;&lt;/related-urls&gt;&lt;/urls&gt;&lt;electronic-resource-num&gt;10.1371/journal.pone.0199123&lt;/electronic-resource-num&gt;&lt;/record&gt;&lt;/Cite&gt;&lt;Cite ExcludeAuth="1"&gt;&lt;Author&gt;Stukel&lt;/Author&gt;&lt;Year&gt;2018&lt;/Year&gt;&lt;RecNum&gt;4216&lt;/RecNum&gt;&lt;record&gt;&lt;rec-number&gt;4216&lt;/rec-number&gt;&lt;foreign-keys&gt;&lt;key app="EN" db-id="pdf0vt00zdwazbete5tvsv00552aw0pz99af"&gt;4216&lt;/key&gt;&lt;/foreign-keys&gt;&lt;ref-type name="Journal Article"&gt;17&lt;/ref-type&gt;&lt;contributors&gt;&lt;authors&gt;&lt;author&gt;Stukel, Michael R&lt;/author&gt;&lt;author&gt;Décima, Moira&lt;/author&gt;&lt;author&gt;Landry, Michael R&lt;/author&gt;&lt;author&gt;Selph, Karen E&lt;/author&gt;&lt;/authors&gt;&lt;/contributors&gt;&lt;titles&gt;&lt;title&gt;Nitrogen and isotope flows through the Costa Rica Dome upwelling ecosystem: The crucial mesozooplankton role in export flux&lt;/title&gt;&lt;secondary-title&gt;Global Biogeochemical Cycles&lt;/secondary-title&gt;&lt;/titles&gt;&lt;periodical&gt;&lt;full-title&gt;Global Biogeochemical Cycles&lt;/full-title&gt;&lt;abbr-1&gt;Global Biogeochem. Cycles&lt;/abbr-1&gt;&lt;/periodical&gt;&lt;pages&gt;1815-1832&lt;/pages&gt;&lt;volume&gt;32&lt;/volume&gt;&lt;dates&gt;&lt;year&gt;2018&lt;/year&gt;&lt;/dates&gt;&lt;isbn&gt;0886-6236&lt;/isbn&gt;&lt;urls&gt;&lt;/urls&gt;&lt;electronic-resource-num&gt;10.1029/2018GB005968&lt;/electronic-resource-num&gt;&lt;/record&gt;&lt;/Cite&gt;&lt;/EndNote&gt;</w:instrText>
      </w:r>
      <w:r w:rsidRPr="00F774CA">
        <w:rPr>
          <w:rFonts w:ascii="Times New Roman" w:hAnsi="Times New Roman" w:cs="Times New Roman"/>
          <w:b w:val="0"/>
          <w:sz w:val="20"/>
          <w:szCs w:val="20"/>
        </w:rPr>
        <w:fldChar w:fldCharType="separate"/>
      </w:r>
      <w:r w:rsidRPr="00F774CA">
        <w:rPr>
          <w:rFonts w:ascii="Times New Roman" w:hAnsi="Times New Roman" w:cs="Times New Roman"/>
          <w:b w:val="0"/>
          <w:noProof/>
          <w:sz w:val="20"/>
          <w:szCs w:val="20"/>
        </w:rPr>
        <w:t>(</w:t>
      </w:r>
      <w:hyperlink w:anchor="_ENREF_1" w:tooltip="Stukel, 2018 #4003" w:history="1">
        <w:r w:rsidR="00F774CA" w:rsidRPr="00F774CA">
          <w:rPr>
            <w:rFonts w:ascii="Times New Roman" w:hAnsi="Times New Roman" w:cs="Times New Roman"/>
            <w:b w:val="0"/>
            <w:noProof/>
            <w:sz w:val="20"/>
            <w:szCs w:val="20"/>
          </w:rPr>
          <w:t>2018a</w:t>
        </w:r>
      </w:hyperlink>
      <w:r w:rsidRPr="00F774CA">
        <w:rPr>
          <w:rFonts w:ascii="Times New Roman" w:hAnsi="Times New Roman" w:cs="Times New Roman"/>
          <w:b w:val="0"/>
          <w:noProof/>
          <w:sz w:val="20"/>
          <w:szCs w:val="20"/>
        </w:rPr>
        <w:t xml:space="preserve">; </w:t>
      </w:r>
      <w:hyperlink w:anchor="_ENREF_2" w:tooltip="Stukel, 2018 #4216" w:history="1">
        <w:r w:rsidR="00F774CA" w:rsidRPr="00F774CA">
          <w:rPr>
            <w:rFonts w:ascii="Times New Roman" w:hAnsi="Times New Roman" w:cs="Times New Roman"/>
            <w:b w:val="0"/>
            <w:noProof/>
            <w:sz w:val="20"/>
            <w:szCs w:val="20"/>
          </w:rPr>
          <w:t>2018b</w:t>
        </w:r>
      </w:hyperlink>
      <w:r w:rsidRPr="00F774CA">
        <w:rPr>
          <w:rFonts w:ascii="Times New Roman" w:hAnsi="Times New Roman" w:cs="Times New Roman"/>
          <w:b w:val="0"/>
          <w:noProof/>
          <w:sz w:val="20"/>
          <w:szCs w:val="20"/>
        </w:rPr>
        <w:t>)</w:t>
      </w:r>
      <w:r w:rsidRPr="00F774CA">
        <w:rPr>
          <w:rFonts w:ascii="Times New Roman" w:hAnsi="Times New Roman" w:cs="Times New Roman"/>
          <w:b w:val="0"/>
          <w:sz w:val="20"/>
          <w:szCs w:val="20"/>
        </w:rPr>
        <w:fldChar w:fldCharType="end"/>
      </w:r>
      <w:r w:rsidRPr="00F774CA">
        <w:rPr>
          <w:rFonts w:ascii="Times New Roman" w:hAnsi="Times New Roman" w:cs="Times New Roman"/>
          <w:b w:val="0"/>
          <w:sz w:val="20"/>
          <w:szCs w:val="20"/>
        </w:rPr>
        <w:t>.  This version of the code includes multiple adaptations necessary to model a substantially larger number of ecosystem flows associated with the oligotrophic, open-ocean Gulf of Mexico planktonic environment as part of the BLOOFINZ-</w:t>
      </w:r>
      <w:proofErr w:type="spellStart"/>
      <w:r w:rsidRPr="00F774CA">
        <w:rPr>
          <w:rFonts w:ascii="Times New Roman" w:hAnsi="Times New Roman" w:cs="Times New Roman"/>
          <w:b w:val="0"/>
          <w:sz w:val="20"/>
          <w:szCs w:val="20"/>
        </w:rPr>
        <w:t>GoM</w:t>
      </w:r>
      <w:proofErr w:type="spellEnd"/>
      <w:r w:rsidRPr="00F774CA">
        <w:rPr>
          <w:rFonts w:ascii="Times New Roman" w:hAnsi="Times New Roman" w:cs="Times New Roman"/>
          <w:b w:val="0"/>
          <w:sz w:val="20"/>
          <w:szCs w:val="20"/>
        </w:rPr>
        <w:t xml:space="preserve"> project.</w:t>
      </w:r>
    </w:p>
    <w:p w:rsidR="00001248" w:rsidRPr="00F774CA" w:rsidRDefault="00001248">
      <w:pPr>
        <w:rPr>
          <w:rFonts w:ascii="Times New Roman" w:hAnsi="Times New Roman" w:cs="Times New Roman"/>
          <w:sz w:val="20"/>
          <w:szCs w:val="20"/>
        </w:rPr>
      </w:pPr>
      <w:r w:rsidRPr="00F774CA">
        <w:rPr>
          <w:rFonts w:ascii="Times New Roman" w:hAnsi="Times New Roman" w:cs="Times New Roman"/>
          <w:sz w:val="20"/>
          <w:szCs w:val="20"/>
        </w:rPr>
        <w:t>Goal</w:t>
      </w:r>
    </w:p>
    <w:p w:rsidR="00001248" w:rsidRPr="00F774CA" w:rsidRDefault="00F774CA">
      <w:pPr>
        <w:rPr>
          <w:rFonts w:ascii="Times New Roman" w:hAnsi="Times New Roman" w:cs="Times New Roman"/>
          <w:b w:val="0"/>
          <w:sz w:val="20"/>
          <w:szCs w:val="20"/>
        </w:rPr>
      </w:pPr>
      <w:r w:rsidRPr="00F774CA">
        <w:rPr>
          <w:b w:val="0"/>
          <w:noProof/>
        </w:rPr>
        <mc:AlternateContent>
          <mc:Choice Requires="wps">
            <w:drawing>
              <wp:anchor distT="0" distB="0" distL="114300" distR="114300" simplePos="0" relativeHeight="251659264" behindDoc="0" locked="0" layoutInCell="1" allowOverlap="1" wp14:anchorId="0A332A46" wp14:editId="67E97BD2">
                <wp:simplePos x="0" y="0"/>
                <wp:positionH relativeFrom="column">
                  <wp:posOffset>-57785</wp:posOffset>
                </wp:positionH>
                <wp:positionV relativeFrom="paragraph">
                  <wp:posOffset>828675</wp:posOffset>
                </wp:positionV>
                <wp:extent cx="6334125" cy="1403985"/>
                <wp:effectExtent l="0" t="0" r="28575" b="2349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1403985"/>
                        </a:xfrm>
                        <a:prstGeom prst="rect">
                          <a:avLst/>
                        </a:prstGeom>
                        <a:solidFill>
                          <a:srgbClr val="FFFFFF"/>
                        </a:solidFill>
                        <a:ln w="9525">
                          <a:solidFill>
                            <a:srgbClr val="000000"/>
                          </a:solidFill>
                          <a:miter lim="800000"/>
                          <a:headEnd/>
                          <a:tailEnd/>
                        </a:ln>
                      </wps:spPr>
                      <wps:txbx>
                        <w:txbxContent>
                          <w:p w:rsidR="00F774CA" w:rsidRPr="00F774CA" w:rsidRDefault="00F774CA">
                            <w:pPr>
                              <w:rPr>
                                <w:sz w:val="18"/>
                                <w:szCs w:val="18"/>
                              </w:rPr>
                            </w:pPr>
                            <w:r w:rsidRPr="00F774CA">
                              <w:rPr>
                                <w:noProof/>
                                <w:sz w:val="18"/>
                                <w:szCs w:val="18"/>
                              </w:rPr>
                              <w:drawing>
                                <wp:inline distT="0" distB="0" distL="0" distR="0" wp14:anchorId="42721171" wp14:editId="2D13ECFA">
                                  <wp:extent cx="6142355" cy="345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 - Model Structure - 6-28-20.png"/>
                                          <pic:cNvPicPr/>
                                        </pic:nvPicPr>
                                        <pic:blipFill>
                                          <a:blip r:embed="rId6">
                                            <a:extLst>
                                              <a:ext uri="{28A0092B-C50C-407E-A947-70E740481C1C}">
                                                <a14:useLocalDpi xmlns:a14="http://schemas.microsoft.com/office/drawing/2010/main" val="0"/>
                                              </a:ext>
                                            </a:extLst>
                                          </a:blip>
                                          <a:stretch>
                                            <a:fillRect/>
                                          </a:stretch>
                                        </pic:blipFill>
                                        <pic:spPr>
                                          <a:xfrm>
                                            <a:off x="0" y="0"/>
                                            <a:ext cx="6142355" cy="3455035"/>
                                          </a:xfrm>
                                          <a:prstGeom prst="rect">
                                            <a:avLst/>
                                          </a:prstGeom>
                                        </pic:spPr>
                                      </pic:pic>
                                    </a:graphicData>
                                  </a:graphic>
                                </wp:inline>
                              </w:drawing>
                            </w:r>
                          </w:p>
                          <w:p w:rsidR="00F774CA" w:rsidRPr="00F774CA" w:rsidRDefault="00F774CA" w:rsidP="00F774CA">
                            <w:pPr>
                              <w:rPr>
                                <w:rFonts w:ascii="Times New Roman" w:hAnsi="Times New Roman" w:cs="Times New Roman"/>
                                <w:b w:val="0"/>
                                <w:sz w:val="18"/>
                                <w:szCs w:val="18"/>
                              </w:rPr>
                            </w:pPr>
                            <w:proofErr w:type="gramStart"/>
                            <w:r w:rsidRPr="00F774CA">
                              <w:rPr>
                                <w:rFonts w:ascii="Times New Roman" w:hAnsi="Times New Roman" w:cs="Times New Roman"/>
                                <w:b w:val="0"/>
                                <w:sz w:val="18"/>
                                <w:szCs w:val="18"/>
                              </w:rPr>
                              <w:t>Fig. 1 – Food web structure.</w:t>
                            </w:r>
                            <w:proofErr w:type="gramEnd"/>
                            <w:r w:rsidRPr="00F774CA">
                              <w:rPr>
                                <w:rFonts w:ascii="Times New Roman" w:hAnsi="Times New Roman" w:cs="Times New Roman"/>
                                <w:b w:val="0"/>
                                <w:sz w:val="18"/>
                                <w:szCs w:val="18"/>
                              </w:rPr>
                              <w:t xml:space="preserve">  All major food web flows between living organism groups are shown.  However, for visual simplicity, we omit production of NH</w:t>
                            </w:r>
                            <w:r w:rsidRPr="00F774CA">
                              <w:rPr>
                                <w:rFonts w:ascii="Times New Roman" w:hAnsi="Times New Roman" w:cs="Times New Roman"/>
                                <w:b w:val="0"/>
                                <w:sz w:val="18"/>
                                <w:szCs w:val="18"/>
                                <w:vertAlign w:val="subscript"/>
                              </w:rPr>
                              <w:t>4</w:t>
                            </w:r>
                            <w:r w:rsidRPr="00F774CA">
                              <w:rPr>
                                <w:rFonts w:ascii="Times New Roman" w:hAnsi="Times New Roman" w:cs="Times New Roman"/>
                                <w:b w:val="0"/>
                                <w:sz w:val="18"/>
                                <w:szCs w:val="18"/>
                                <w:vertAlign w:val="superscript"/>
                              </w:rPr>
                              <w:t>+</w:t>
                            </w:r>
                            <w:r w:rsidRPr="00F774CA">
                              <w:rPr>
                                <w:rFonts w:ascii="Times New Roman" w:hAnsi="Times New Roman" w:cs="Times New Roman"/>
                                <w:b w:val="0"/>
                                <w:sz w:val="18"/>
                                <w:szCs w:val="18"/>
                              </w:rPr>
                              <w:t xml:space="preserve">, DOM, and detritus by all living groups as well as consumption of detritus by </w:t>
                            </w:r>
                            <w:proofErr w:type="spellStart"/>
                            <w:r w:rsidRPr="00F774CA">
                              <w:rPr>
                                <w:rFonts w:ascii="Times New Roman" w:hAnsi="Times New Roman" w:cs="Times New Roman"/>
                                <w:b w:val="0"/>
                                <w:sz w:val="18"/>
                                <w:szCs w:val="18"/>
                              </w:rPr>
                              <w:t>protistan</w:t>
                            </w:r>
                            <w:proofErr w:type="spellEnd"/>
                            <w:r w:rsidRPr="00F774CA">
                              <w:rPr>
                                <w:rFonts w:ascii="Times New Roman" w:hAnsi="Times New Roman" w:cs="Times New Roman"/>
                                <w:b w:val="0"/>
                                <w:sz w:val="18"/>
                                <w:szCs w:val="18"/>
                              </w:rPr>
                              <w:t xml:space="preserve"> zooplankton and suspension-feeding metazoans.  Stars indicate groups at the highest trophic levels, for which secondary production is a model closure term.  The model has a two-layer structure (~mixed layer and deep euphotic zone) with all trophic components in both layers, except for larval ABT.  For all model flows, see Supp. Table 1.  </w:t>
                            </w:r>
                            <w:proofErr w:type="spellStart"/>
                            <w:r w:rsidRPr="00F774CA">
                              <w:rPr>
                                <w:rFonts w:ascii="Times New Roman" w:hAnsi="Times New Roman" w:cs="Times New Roman"/>
                                <w:b w:val="0"/>
                                <w:sz w:val="18"/>
                                <w:szCs w:val="18"/>
                              </w:rPr>
                              <w:t>HBac</w:t>
                            </w:r>
                            <w:proofErr w:type="spellEnd"/>
                            <w:r w:rsidRPr="00F774CA">
                              <w:rPr>
                                <w:rFonts w:ascii="Times New Roman" w:hAnsi="Times New Roman" w:cs="Times New Roman"/>
                                <w:b w:val="0"/>
                                <w:sz w:val="18"/>
                                <w:szCs w:val="18"/>
                              </w:rPr>
                              <w:t xml:space="preserve"> = heterotrophic bacteria; DOM = dissolved organic matter; </w:t>
                            </w:r>
                            <w:proofErr w:type="spellStart"/>
                            <w:r w:rsidRPr="00F774CA">
                              <w:rPr>
                                <w:rFonts w:ascii="Times New Roman" w:hAnsi="Times New Roman" w:cs="Times New Roman"/>
                                <w:b w:val="0"/>
                                <w:sz w:val="18"/>
                                <w:szCs w:val="18"/>
                              </w:rPr>
                              <w:t>SDet</w:t>
                            </w:r>
                            <w:proofErr w:type="spellEnd"/>
                            <w:r w:rsidRPr="00F774CA">
                              <w:rPr>
                                <w:rFonts w:ascii="Times New Roman" w:hAnsi="Times New Roman" w:cs="Times New Roman"/>
                                <w:b w:val="0"/>
                                <w:sz w:val="18"/>
                                <w:szCs w:val="18"/>
                              </w:rPr>
                              <w:t xml:space="preserve"> = small detritus; </w:t>
                            </w:r>
                            <w:proofErr w:type="spellStart"/>
                            <w:r w:rsidRPr="00F774CA">
                              <w:rPr>
                                <w:rFonts w:ascii="Times New Roman" w:hAnsi="Times New Roman" w:cs="Times New Roman"/>
                                <w:b w:val="0"/>
                                <w:sz w:val="18"/>
                                <w:szCs w:val="18"/>
                              </w:rPr>
                              <w:t>LDet</w:t>
                            </w:r>
                            <w:proofErr w:type="spellEnd"/>
                            <w:r w:rsidRPr="00F774CA">
                              <w:rPr>
                                <w:rFonts w:ascii="Times New Roman" w:hAnsi="Times New Roman" w:cs="Times New Roman"/>
                                <w:b w:val="0"/>
                                <w:sz w:val="18"/>
                                <w:szCs w:val="18"/>
                              </w:rPr>
                              <w:t xml:space="preserve"> = large (sinking) detritus; </w:t>
                            </w:r>
                            <w:proofErr w:type="spellStart"/>
                            <w:r w:rsidRPr="00F774CA">
                              <w:rPr>
                                <w:rFonts w:ascii="Times New Roman" w:hAnsi="Times New Roman" w:cs="Times New Roman"/>
                                <w:b w:val="0"/>
                                <w:sz w:val="18"/>
                                <w:szCs w:val="18"/>
                              </w:rPr>
                              <w:t>Tricho</w:t>
                            </w:r>
                            <w:proofErr w:type="spellEnd"/>
                            <w:r w:rsidRPr="00F774CA">
                              <w:rPr>
                                <w:rFonts w:ascii="Times New Roman" w:hAnsi="Times New Roman" w:cs="Times New Roman"/>
                                <w:b w:val="0"/>
                                <w:sz w:val="18"/>
                                <w:szCs w:val="18"/>
                              </w:rPr>
                              <w:t xml:space="preserve"> = </w:t>
                            </w:r>
                            <w:proofErr w:type="spellStart"/>
                            <w:r w:rsidRPr="00F774CA">
                              <w:rPr>
                                <w:rFonts w:ascii="Times New Roman" w:hAnsi="Times New Roman" w:cs="Times New Roman"/>
                                <w:b w:val="0"/>
                                <w:sz w:val="18"/>
                                <w:szCs w:val="18"/>
                              </w:rPr>
                              <w:t>Trichodesmium</w:t>
                            </w:r>
                            <w:proofErr w:type="spellEnd"/>
                            <w:r w:rsidRPr="00F774CA">
                              <w:rPr>
                                <w:rFonts w:ascii="Times New Roman" w:hAnsi="Times New Roman" w:cs="Times New Roman"/>
                                <w:b w:val="0"/>
                                <w:sz w:val="18"/>
                                <w:szCs w:val="18"/>
                              </w:rPr>
                              <w:t xml:space="preserve">; </w:t>
                            </w:r>
                            <w:proofErr w:type="spellStart"/>
                            <w:r w:rsidRPr="00F774CA">
                              <w:rPr>
                                <w:rFonts w:ascii="Times New Roman" w:hAnsi="Times New Roman" w:cs="Times New Roman"/>
                                <w:b w:val="0"/>
                                <w:sz w:val="18"/>
                                <w:szCs w:val="18"/>
                              </w:rPr>
                              <w:t>Cyano</w:t>
                            </w:r>
                            <w:proofErr w:type="spellEnd"/>
                            <w:r w:rsidRPr="00F774CA">
                              <w:rPr>
                                <w:rFonts w:ascii="Times New Roman" w:hAnsi="Times New Roman" w:cs="Times New Roman"/>
                                <w:b w:val="0"/>
                                <w:sz w:val="18"/>
                                <w:szCs w:val="18"/>
                              </w:rPr>
                              <w:t xml:space="preserve"> = cyanobacteria; Flag = </w:t>
                            </w:r>
                            <w:proofErr w:type="spellStart"/>
                            <w:r w:rsidRPr="00F774CA">
                              <w:rPr>
                                <w:rFonts w:ascii="Times New Roman" w:hAnsi="Times New Roman" w:cs="Times New Roman"/>
                                <w:b w:val="0"/>
                                <w:sz w:val="18"/>
                                <w:szCs w:val="18"/>
                              </w:rPr>
                              <w:t>mixotrophic</w:t>
                            </w:r>
                            <w:proofErr w:type="spellEnd"/>
                            <w:r w:rsidRPr="00F774CA">
                              <w:rPr>
                                <w:rFonts w:ascii="Times New Roman" w:hAnsi="Times New Roman" w:cs="Times New Roman"/>
                                <w:b w:val="0"/>
                                <w:sz w:val="18"/>
                                <w:szCs w:val="18"/>
                              </w:rPr>
                              <w:t xml:space="preserve"> flagellates; </w:t>
                            </w:r>
                            <w:proofErr w:type="spellStart"/>
                            <w:r w:rsidRPr="00F774CA">
                              <w:rPr>
                                <w:rFonts w:ascii="Times New Roman" w:hAnsi="Times New Roman" w:cs="Times New Roman"/>
                                <w:b w:val="0"/>
                                <w:sz w:val="18"/>
                                <w:szCs w:val="18"/>
                              </w:rPr>
                              <w:t>Dtm</w:t>
                            </w:r>
                            <w:proofErr w:type="spellEnd"/>
                            <w:r w:rsidRPr="00F774CA">
                              <w:rPr>
                                <w:rFonts w:ascii="Times New Roman" w:hAnsi="Times New Roman" w:cs="Times New Roman"/>
                                <w:b w:val="0"/>
                                <w:sz w:val="18"/>
                                <w:szCs w:val="18"/>
                              </w:rPr>
                              <w:t xml:space="preserve"> = diatoms; MIC = </w:t>
                            </w:r>
                            <w:proofErr w:type="spellStart"/>
                            <w:r w:rsidRPr="00F774CA">
                              <w:rPr>
                                <w:rFonts w:ascii="Times New Roman" w:hAnsi="Times New Roman" w:cs="Times New Roman"/>
                                <w:b w:val="0"/>
                                <w:sz w:val="18"/>
                                <w:szCs w:val="18"/>
                              </w:rPr>
                              <w:t>microzooplankton</w:t>
                            </w:r>
                            <w:proofErr w:type="spellEnd"/>
                            <w:r w:rsidRPr="00F774CA">
                              <w:rPr>
                                <w:rFonts w:ascii="Times New Roman" w:hAnsi="Times New Roman" w:cs="Times New Roman"/>
                                <w:b w:val="0"/>
                                <w:sz w:val="18"/>
                                <w:szCs w:val="18"/>
                              </w:rPr>
                              <w:t xml:space="preserve">; HNF = heterotrophic </w:t>
                            </w:r>
                            <w:proofErr w:type="spellStart"/>
                            <w:r w:rsidRPr="00F774CA">
                              <w:rPr>
                                <w:rFonts w:ascii="Times New Roman" w:hAnsi="Times New Roman" w:cs="Times New Roman"/>
                                <w:b w:val="0"/>
                                <w:sz w:val="18"/>
                                <w:szCs w:val="18"/>
                              </w:rPr>
                              <w:t>nanoflagellates</w:t>
                            </w:r>
                            <w:proofErr w:type="spellEnd"/>
                            <w:r w:rsidRPr="00F774CA">
                              <w:rPr>
                                <w:rFonts w:ascii="Times New Roman" w:hAnsi="Times New Roman" w:cs="Times New Roman"/>
                                <w:b w:val="0"/>
                                <w:sz w:val="18"/>
                                <w:szCs w:val="18"/>
                              </w:rPr>
                              <w:t xml:space="preserve">; App = </w:t>
                            </w:r>
                            <w:proofErr w:type="spellStart"/>
                            <w:r w:rsidRPr="00F774CA">
                              <w:rPr>
                                <w:rFonts w:ascii="Times New Roman" w:hAnsi="Times New Roman" w:cs="Times New Roman"/>
                                <w:b w:val="0"/>
                                <w:sz w:val="18"/>
                                <w:szCs w:val="18"/>
                              </w:rPr>
                              <w:t>appendicularians</w:t>
                            </w:r>
                            <w:proofErr w:type="spellEnd"/>
                            <w:r w:rsidRPr="00F774CA">
                              <w:rPr>
                                <w:rFonts w:ascii="Times New Roman" w:hAnsi="Times New Roman" w:cs="Times New Roman"/>
                                <w:b w:val="0"/>
                                <w:sz w:val="18"/>
                                <w:szCs w:val="18"/>
                              </w:rPr>
                              <w:t xml:space="preserve">; </w:t>
                            </w:r>
                            <w:proofErr w:type="spellStart"/>
                            <w:r w:rsidRPr="00F774CA">
                              <w:rPr>
                                <w:rFonts w:ascii="Times New Roman" w:hAnsi="Times New Roman" w:cs="Times New Roman"/>
                                <w:b w:val="0"/>
                                <w:sz w:val="18"/>
                                <w:szCs w:val="18"/>
                              </w:rPr>
                              <w:t>HerbVM</w:t>
                            </w:r>
                            <w:proofErr w:type="spellEnd"/>
                            <w:r w:rsidRPr="00F774CA">
                              <w:rPr>
                                <w:rFonts w:ascii="Times New Roman" w:hAnsi="Times New Roman" w:cs="Times New Roman"/>
                                <w:b w:val="0"/>
                                <w:sz w:val="18"/>
                                <w:szCs w:val="18"/>
                              </w:rPr>
                              <w:t xml:space="preserve"> = vertically-migrating herbivorous suspension feeders; </w:t>
                            </w:r>
                            <w:proofErr w:type="spellStart"/>
                            <w:r w:rsidRPr="00F774CA">
                              <w:rPr>
                                <w:rFonts w:ascii="Times New Roman" w:hAnsi="Times New Roman" w:cs="Times New Roman"/>
                                <w:b w:val="0"/>
                                <w:sz w:val="18"/>
                                <w:szCs w:val="18"/>
                              </w:rPr>
                              <w:t>HerbNVM</w:t>
                            </w:r>
                            <w:proofErr w:type="spellEnd"/>
                            <w:r w:rsidRPr="00F774CA">
                              <w:rPr>
                                <w:rFonts w:ascii="Times New Roman" w:hAnsi="Times New Roman" w:cs="Times New Roman"/>
                                <w:b w:val="0"/>
                                <w:sz w:val="18"/>
                                <w:szCs w:val="18"/>
                              </w:rPr>
                              <w:t xml:space="preserve"> = non-vertically migrating herbivorous suspension feeders; Clad = </w:t>
                            </w:r>
                            <w:proofErr w:type="spellStart"/>
                            <w:r w:rsidRPr="00F774CA">
                              <w:rPr>
                                <w:rFonts w:ascii="Times New Roman" w:hAnsi="Times New Roman" w:cs="Times New Roman"/>
                                <w:b w:val="0"/>
                                <w:sz w:val="18"/>
                                <w:szCs w:val="18"/>
                              </w:rPr>
                              <w:t>cladocerans</w:t>
                            </w:r>
                            <w:proofErr w:type="spellEnd"/>
                            <w:r w:rsidRPr="00F774CA">
                              <w:rPr>
                                <w:rFonts w:ascii="Times New Roman" w:hAnsi="Times New Roman" w:cs="Times New Roman"/>
                                <w:b w:val="0"/>
                                <w:sz w:val="18"/>
                                <w:szCs w:val="18"/>
                              </w:rPr>
                              <w:t xml:space="preserve">; </w:t>
                            </w:r>
                            <w:proofErr w:type="spellStart"/>
                            <w:r w:rsidRPr="00F774CA">
                              <w:rPr>
                                <w:rFonts w:ascii="Times New Roman" w:hAnsi="Times New Roman" w:cs="Times New Roman"/>
                                <w:b w:val="0"/>
                                <w:sz w:val="18"/>
                                <w:szCs w:val="18"/>
                              </w:rPr>
                              <w:t>nvmCal</w:t>
                            </w:r>
                            <w:proofErr w:type="spellEnd"/>
                            <w:r w:rsidRPr="00F774CA">
                              <w:rPr>
                                <w:rFonts w:ascii="Times New Roman" w:hAnsi="Times New Roman" w:cs="Times New Roman"/>
                                <w:b w:val="0"/>
                                <w:sz w:val="18"/>
                                <w:szCs w:val="18"/>
                              </w:rPr>
                              <w:t xml:space="preserve"> = non-vertically migrating </w:t>
                            </w:r>
                            <w:proofErr w:type="spellStart"/>
                            <w:r w:rsidRPr="00F774CA">
                              <w:rPr>
                                <w:rFonts w:ascii="Times New Roman" w:hAnsi="Times New Roman" w:cs="Times New Roman"/>
                                <w:b w:val="0"/>
                                <w:sz w:val="18"/>
                                <w:szCs w:val="18"/>
                              </w:rPr>
                              <w:t>calanoid</w:t>
                            </w:r>
                            <w:proofErr w:type="spellEnd"/>
                            <w:r w:rsidRPr="00F774CA">
                              <w:rPr>
                                <w:rFonts w:ascii="Times New Roman" w:hAnsi="Times New Roman" w:cs="Times New Roman"/>
                                <w:b w:val="0"/>
                                <w:sz w:val="18"/>
                                <w:szCs w:val="18"/>
                              </w:rPr>
                              <w:t xml:space="preserve"> copepods; </w:t>
                            </w:r>
                            <w:proofErr w:type="spellStart"/>
                            <w:r w:rsidRPr="00F774CA">
                              <w:rPr>
                                <w:rFonts w:ascii="Times New Roman" w:hAnsi="Times New Roman" w:cs="Times New Roman"/>
                                <w:b w:val="0"/>
                                <w:sz w:val="18"/>
                                <w:szCs w:val="18"/>
                              </w:rPr>
                              <w:t>vmCal</w:t>
                            </w:r>
                            <w:proofErr w:type="spellEnd"/>
                            <w:r w:rsidRPr="00F774CA">
                              <w:rPr>
                                <w:rFonts w:ascii="Times New Roman" w:hAnsi="Times New Roman" w:cs="Times New Roman"/>
                                <w:b w:val="0"/>
                                <w:sz w:val="18"/>
                                <w:szCs w:val="18"/>
                              </w:rPr>
                              <w:t xml:space="preserve"> = vertically-migrating </w:t>
                            </w:r>
                            <w:proofErr w:type="spellStart"/>
                            <w:r w:rsidRPr="00F774CA">
                              <w:rPr>
                                <w:rFonts w:ascii="Times New Roman" w:hAnsi="Times New Roman" w:cs="Times New Roman"/>
                                <w:b w:val="0"/>
                                <w:sz w:val="18"/>
                                <w:szCs w:val="18"/>
                              </w:rPr>
                              <w:t>calanoid</w:t>
                            </w:r>
                            <w:proofErr w:type="spellEnd"/>
                            <w:r w:rsidRPr="00F774CA">
                              <w:rPr>
                                <w:rFonts w:ascii="Times New Roman" w:hAnsi="Times New Roman" w:cs="Times New Roman"/>
                                <w:b w:val="0"/>
                                <w:sz w:val="18"/>
                                <w:szCs w:val="18"/>
                              </w:rPr>
                              <w:t xml:space="preserve"> copepods; </w:t>
                            </w:r>
                            <w:proofErr w:type="spellStart"/>
                            <w:r w:rsidRPr="00F774CA">
                              <w:rPr>
                                <w:rFonts w:ascii="Times New Roman" w:hAnsi="Times New Roman" w:cs="Times New Roman"/>
                                <w:b w:val="0"/>
                                <w:sz w:val="18"/>
                                <w:szCs w:val="18"/>
                              </w:rPr>
                              <w:t>Chaeto</w:t>
                            </w:r>
                            <w:proofErr w:type="spellEnd"/>
                            <w:r w:rsidRPr="00F774CA">
                              <w:rPr>
                                <w:rFonts w:ascii="Times New Roman" w:hAnsi="Times New Roman" w:cs="Times New Roman"/>
                                <w:b w:val="0"/>
                                <w:sz w:val="18"/>
                                <w:szCs w:val="18"/>
                              </w:rPr>
                              <w:t xml:space="preserve"> = </w:t>
                            </w:r>
                            <w:proofErr w:type="spellStart"/>
                            <w:r w:rsidRPr="00F774CA">
                              <w:rPr>
                                <w:rFonts w:ascii="Times New Roman" w:hAnsi="Times New Roman" w:cs="Times New Roman"/>
                                <w:b w:val="0"/>
                                <w:sz w:val="18"/>
                                <w:szCs w:val="18"/>
                              </w:rPr>
                              <w:t>chaetognaths</w:t>
                            </w:r>
                            <w:proofErr w:type="spellEnd"/>
                            <w:r w:rsidRPr="00F774CA">
                              <w:rPr>
                                <w:rFonts w:ascii="Times New Roman" w:hAnsi="Times New Roman" w:cs="Times New Roman"/>
                                <w:b w:val="0"/>
                                <w:sz w:val="18"/>
                                <w:szCs w:val="18"/>
                              </w:rPr>
                              <w:t xml:space="preserve">; </w:t>
                            </w:r>
                            <w:proofErr w:type="spellStart"/>
                            <w:r w:rsidRPr="00F774CA">
                              <w:rPr>
                                <w:rFonts w:ascii="Times New Roman" w:hAnsi="Times New Roman" w:cs="Times New Roman"/>
                                <w:b w:val="0"/>
                                <w:sz w:val="18"/>
                                <w:szCs w:val="18"/>
                              </w:rPr>
                              <w:t>Poecil</w:t>
                            </w:r>
                            <w:proofErr w:type="spellEnd"/>
                            <w:r w:rsidRPr="00F774CA">
                              <w:rPr>
                                <w:rFonts w:ascii="Times New Roman" w:hAnsi="Times New Roman" w:cs="Times New Roman"/>
                                <w:b w:val="0"/>
                                <w:sz w:val="18"/>
                                <w:szCs w:val="18"/>
                              </w:rPr>
                              <w:t xml:space="preserve"> = poecilostomatoid copepods; </w:t>
                            </w:r>
                            <w:proofErr w:type="spellStart"/>
                            <w:r w:rsidRPr="00F774CA">
                              <w:rPr>
                                <w:rFonts w:ascii="Times New Roman" w:hAnsi="Times New Roman" w:cs="Times New Roman"/>
                                <w:b w:val="0"/>
                                <w:sz w:val="18"/>
                                <w:szCs w:val="18"/>
                              </w:rPr>
                              <w:t>Preflex</w:t>
                            </w:r>
                            <w:proofErr w:type="spellEnd"/>
                            <w:r w:rsidRPr="00F774CA">
                              <w:rPr>
                                <w:rFonts w:ascii="Times New Roman" w:hAnsi="Times New Roman" w:cs="Times New Roman"/>
                                <w:b w:val="0"/>
                                <w:sz w:val="18"/>
                                <w:szCs w:val="18"/>
                              </w:rPr>
                              <w:t xml:space="preserve"> ABT = </w:t>
                            </w:r>
                            <w:proofErr w:type="spellStart"/>
                            <w:r w:rsidRPr="00F774CA">
                              <w:rPr>
                                <w:rFonts w:ascii="Times New Roman" w:hAnsi="Times New Roman" w:cs="Times New Roman"/>
                                <w:b w:val="0"/>
                                <w:sz w:val="18"/>
                                <w:szCs w:val="18"/>
                              </w:rPr>
                              <w:t>preflexion</w:t>
                            </w:r>
                            <w:proofErr w:type="spellEnd"/>
                            <w:r w:rsidRPr="00F774CA">
                              <w:rPr>
                                <w:rFonts w:ascii="Times New Roman" w:hAnsi="Times New Roman" w:cs="Times New Roman"/>
                                <w:b w:val="0"/>
                                <w:sz w:val="18"/>
                                <w:szCs w:val="18"/>
                              </w:rPr>
                              <w:t xml:space="preserve"> Atlantic Bluefin tuna; </w:t>
                            </w:r>
                            <w:proofErr w:type="spellStart"/>
                            <w:r w:rsidRPr="00F774CA">
                              <w:rPr>
                                <w:rFonts w:ascii="Times New Roman" w:hAnsi="Times New Roman" w:cs="Times New Roman"/>
                                <w:b w:val="0"/>
                                <w:sz w:val="18"/>
                                <w:szCs w:val="18"/>
                              </w:rPr>
                              <w:t>Postflex</w:t>
                            </w:r>
                            <w:proofErr w:type="spellEnd"/>
                            <w:r w:rsidRPr="00F774CA">
                              <w:rPr>
                                <w:rFonts w:ascii="Times New Roman" w:hAnsi="Times New Roman" w:cs="Times New Roman"/>
                                <w:b w:val="0"/>
                                <w:sz w:val="18"/>
                                <w:szCs w:val="18"/>
                              </w:rPr>
                              <w:t xml:space="preserve"> ABT = </w:t>
                            </w:r>
                            <w:proofErr w:type="spellStart"/>
                            <w:r w:rsidRPr="00F774CA">
                              <w:rPr>
                                <w:rFonts w:ascii="Times New Roman" w:hAnsi="Times New Roman" w:cs="Times New Roman"/>
                                <w:b w:val="0"/>
                                <w:sz w:val="18"/>
                                <w:szCs w:val="18"/>
                              </w:rPr>
                              <w:t>postflexion</w:t>
                            </w:r>
                            <w:proofErr w:type="spellEnd"/>
                            <w:r w:rsidRPr="00F774CA">
                              <w:rPr>
                                <w:rFonts w:ascii="Times New Roman" w:hAnsi="Times New Roman" w:cs="Times New Roman"/>
                                <w:b w:val="0"/>
                                <w:sz w:val="18"/>
                                <w:szCs w:val="18"/>
                              </w:rPr>
                              <w:t xml:space="preserve"> Atlantic Bluefin tuna; Gel = gelatinous predators (ctenophores and cnidarians); </w:t>
                            </w:r>
                            <w:proofErr w:type="spellStart"/>
                            <w:r w:rsidRPr="00F774CA">
                              <w:rPr>
                                <w:rFonts w:ascii="Times New Roman" w:hAnsi="Times New Roman" w:cs="Times New Roman"/>
                                <w:b w:val="0"/>
                                <w:sz w:val="18"/>
                                <w:szCs w:val="18"/>
                              </w:rPr>
                              <w:t>PlankFish</w:t>
                            </w:r>
                            <w:proofErr w:type="spellEnd"/>
                            <w:r w:rsidRPr="00F774CA">
                              <w:rPr>
                                <w:rFonts w:ascii="Times New Roman" w:hAnsi="Times New Roman" w:cs="Times New Roman"/>
                                <w:b w:val="0"/>
                                <w:sz w:val="18"/>
                                <w:szCs w:val="18"/>
                              </w:rPr>
                              <w:t xml:space="preserve"> = </w:t>
                            </w:r>
                            <w:proofErr w:type="spellStart"/>
                            <w:r w:rsidRPr="00F774CA">
                              <w:rPr>
                                <w:rFonts w:ascii="Times New Roman" w:hAnsi="Times New Roman" w:cs="Times New Roman"/>
                                <w:b w:val="0"/>
                                <w:sz w:val="18"/>
                                <w:szCs w:val="18"/>
                              </w:rPr>
                              <w:t>planktivorous</w:t>
                            </w:r>
                            <w:proofErr w:type="spellEnd"/>
                            <w:r w:rsidRPr="00F774CA">
                              <w:rPr>
                                <w:rFonts w:ascii="Times New Roman" w:hAnsi="Times New Roman" w:cs="Times New Roman"/>
                                <w:b w:val="0"/>
                                <w:sz w:val="18"/>
                                <w:szCs w:val="18"/>
                              </w:rPr>
                              <w:t xml:space="preserve"> fish.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5pt;margin-top:65.25pt;width:498.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">
                <v:textbox style="mso-fit-shape-to-text:t">
                  <w:txbxContent>
                    <w:p w:rsidR="00F774CA" w:rsidRPr="00F774CA" w:rsidRDefault="00F774CA">
                      <w:pPr>
                        <w:rPr>
                          <w:sz w:val="18"/>
                          <w:szCs w:val="18"/>
                        </w:rPr>
                      </w:pPr>
                      <w:r w:rsidRPr="00F774CA">
                        <w:rPr>
                          <w:noProof/>
                          <w:sz w:val="18"/>
                          <w:szCs w:val="18"/>
                        </w:rPr>
                        <w:drawing>
                          <wp:inline distT="0" distB="0" distL="0" distR="0" wp14:anchorId="42721171" wp14:editId="2D13ECFA">
                            <wp:extent cx="6142355" cy="345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 - Model Structure - 6-28-20.png"/>
                                    <pic:cNvPicPr/>
                                  </pic:nvPicPr>
                                  <pic:blipFill>
                                    <a:blip r:embed="rId6">
                                      <a:extLst>
                                        <a:ext uri="{28A0092B-C50C-407E-A947-70E740481C1C}">
                                          <a14:useLocalDpi xmlns:a14="http://schemas.microsoft.com/office/drawing/2010/main" val="0"/>
                                        </a:ext>
                                      </a:extLst>
                                    </a:blip>
                                    <a:stretch>
                                      <a:fillRect/>
                                    </a:stretch>
                                  </pic:blipFill>
                                  <pic:spPr>
                                    <a:xfrm>
                                      <a:off x="0" y="0"/>
                                      <a:ext cx="6142355" cy="3455035"/>
                                    </a:xfrm>
                                    <a:prstGeom prst="rect">
                                      <a:avLst/>
                                    </a:prstGeom>
                                  </pic:spPr>
                                </pic:pic>
                              </a:graphicData>
                            </a:graphic>
                          </wp:inline>
                        </w:drawing>
                      </w:r>
                    </w:p>
                    <w:p w:rsidR="00F774CA" w:rsidRPr="00F774CA" w:rsidRDefault="00F774CA" w:rsidP="00F774CA">
                      <w:pPr>
                        <w:rPr>
                          <w:rFonts w:ascii="Times New Roman" w:hAnsi="Times New Roman" w:cs="Times New Roman"/>
                          <w:b w:val="0"/>
                          <w:sz w:val="18"/>
                          <w:szCs w:val="18"/>
                        </w:rPr>
                      </w:pPr>
                      <w:proofErr w:type="gramStart"/>
                      <w:r w:rsidRPr="00F774CA">
                        <w:rPr>
                          <w:rFonts w:ascii="Times New Roman" w:hAnsi="Times New Roman" w:cs="Times New Roman"/>
                          <w:b w:val="0"/>
                          <w:sz w:val="18"/>
                          <w:szCs w:val="18"/>
                        </w:rPr>
                        <w:t>Fig. 1 – Food web structure.</w:t>
                      </w:r>
                      <w:proofErr w:type="gramEnd"/>
                      <w:r w:rsidRPr="00F774CA">
                        <w:rPr>
                          <w:rFonts w:ascii="Times New Roman" w:hAnsi="Times New Roman" w:cs="Times New Roman"/>
                          <w:b w:val="0"/>
                          <w:sz w:val="18"/>
                          <w:szCs w:val="18"/>
                        </w:rPr>
                        <w:t xml:space="preserve">  All major food web flows between living organism groups are shown.  However, for visual simplicity, we omit production of NH</w:t>
                      </w:r>
                      <w:r w:rsidRPr="00F774CA">
                        <w:rPr>
                          <w:rFonts w:ascii="Times New Roman" w:hAnsi="Times New Roman" w:cs="Times New Roman"/>
                          <w:b w:val="0"/>
                          <w:sz w:val="18"/>
                          <w:szCs w:val="18"/>
                          <w:vertAlign w:val="subscript"/>
                        </w:rPr>
                        <w:t>4</w:t>
                      </w:r>
                      <w:r w:rsidRPr="00F774CA">
                        <w:rPr>
                          <w:rFonts w:ascii="Times New Roman" w:hAnsi="Times New Roman" w:cs="Times New Roman"/>
                          <w:b w:val="0"/>
                          <w:sz w:val="18"/>
                          <w:szCs w:val="18"/>
                          <w:vertAlign w:val="superscript"/>
                        </w:rPr>
                        <w:t>+</w:t>
                      </w:r>
                      <w:r w:rsidRPr="00F774CA">
                        <w:rPr>
                          <w:rFonts w:ascii="Times New Roman" w:hAnsi="Times New Roman" w:cs="Times New Roman"/>
                          <w:b w:val="0"/>
                          <w:sz w:val="18"/>
                          <w:szCs w:val="18"/>
                        </w:rPr>
                        <w:t xml:space="preserve">, DOM, and detritus by all living groups as well as consumption of detritus by </w:t>
                      </w:r>
                      <w:proofErr w:type="spellStart"/>
                      <w:r w:rsidRPr="00F774CA">
                        <w:rPr>
                          <w:rFonts w:ascii="Times New Roman" w:hAnsi="Times New Roman" w:cs="Times New Roman"/>
                          <w:b w:val="0"/>
                          <w:sz w:val="18"/>
                          <w:szCs w:val="18"/>
                        </w:rPr>
                        <w:t>protistan</w:t>
                      </w:r>
                      <w:proofErr w:type="spellEnd"/>
                      <w:r w:rsidRPr="00F774CA">
                        <w:rPr>
                          <w:rFonts w:ascii="Times New Roman" w:hAnsi="Times New Roman" w:cs="Times New Roman"/>
                          <w:b w:val="0"/>
                          <w:sz w:val="18"/>
                          <w:szCs w:val="18"/>
                        </w:rPr>
                        <w:t xml:space="preserve"> zooplankton and suspension-feeding metazoans.  Stars indicate groups at the highest trophic levels, for which secondary production is a model closure term.  The model has a two-layer structure (~mixed layer and deep euphotic zone) with all trophic components in both layers, except for larval ABT.  For all model flows, see Supp. Table 1.  </w:t>
                      </w:r>
                      <w:proofErr w:type="spellStart"/>
                      <w:r w:rsidRPr="00F774CA">
                        <w:rPr>
                          <w:rFonts w:ascii="Times New Roman" w:hAnsi="Times New Roman" w:cs="Times New Roman"/>
                          <w:b w:val="0"/>
                          <w:sz w:val="18"/>
                          <w:szCs w:val="18"/>
                        </w:rPr>
                        <w:t>HBac</w:t>
                      </w:r>
                      <w:proofErr w:type="spellEnd"/>
                      <w:r w:rsidRPr="00F774CA">
                        <w:rPr>
                          <w:rFonts w:ascii="Times New Roman" w:hAnsi="Times New Roman" w:cs="Times New Roman"/>
                          <w:b w:val="0"/>
                          <w:sz w:val="18"/>
                          <w:szCs w:val="18"/>
                        </w:rPr>
                        <w:t xml:space="preserve"> = heterotrophic bacteria; DOM = dissolved organic matter; </w:t>
                      </w:r>
                      <w:proofErr w:type="spellStart"/>
                      <w:r w:rsidRPr="00F774CA">
                        <w:rPr>
                          <w:rFonts w:ascii="Times New Roman" w:hAnsi="Times New Roman" w:cs="Times New Roman"/>
                          <w:b w:val="0"/>
                          <w:sz w:val="18"/>
                          <w:szCs w:val="18"/>
                        </w:rPr>
                        <w:t>SDet</w:t>
                      </w:r>
                      <w:proofErr w:type="spellEnd"/>
                      <w:r w:rsidRPr="00F774CA">
                        <w:rPr>
                          <w:rFonts w:ascii="Times New Roman" w:hAnsi="Times New Roman" w:cs="Times New Roman"/>
                          <w:b w:val="0"/>
                          <w:sz w:val="18"/>
                          <w:szCs w:val="18"/>
                        </w:rPr>
                        <w:t xml:space="preserve"> = small detritus; </w:t>
                      </w:r>
                      <w:proofErr w:type="spellStart"/>
                      <w:r w:rsidRPr="00F774CA">
                        <w:rPr>
                          <w:rFonts w:ascii="Times New Roman" w:hAnsi="Times New Roman" w:cs="Times New Roman"/>
                          <w:b w:val="0"/>
                          <w:sz w:val="18"/>
                          <w:szCs w:val="18"/>
                        </w:rPr>
                        <w:t>LDet</w:t>
                      </w:r>
                      <w:proofErr w:type="spellEnd"/>
                      <w:r w:rsidRPr="00F774CA">
                        <w:rPr>
                          <w:rFonts w:ascii="Times New Roman" w:hAnsi="Times New Roman" w:cs="Times New Roman"/>
                          <w:b w:val="0"/>
                          <w:sz w:val="18"/>
                          <w:szCs w:val="18"/>
                        </w:rPr>
                        <w:t xml:space="preserve"> = large (sinking) detritus; </w:t>
                      </w:r>
                      <w:proofErr w:type="spellStart"/>
                      <w:r w:rsidRPr="00F774CA">
                        <w:rPr>
                          <w:rFonts w:ascii="Times New Roman" w:hAnsi="Times New Roman" w:cs="Times New Roman"/>
                          <w:b w:val="0"/>
                          <w:sz w:val="18"/>
                          <w:szCs w:val="18"/>
                        </w:rPr>
                        <w:t>Tricho</w:t>
                      </w:r>
                      <w:proofErr w:type="spellEnd"/>
                      <w:r w:rsidRPr="00F774CA">
                        <w:rPr>
                          <w:rFonts w:ascii="Times New Roman" w:hAnsi="Times New Roman" w:cs="Times New Roman"/>
                          <w:b w:val="0"/>
                          <w:sz w:val="18"/>
                          <w:szCs w:val="18"/>
                        </w:rPr>
                        <w:t xml:space="preserve"> = </w:t>
                      </w:r>
                      <w:proofErr w:type="spellStart"/>
                      <w:r w:rsidRPr="00F774CA">
                        <w:rPr>
                          <w:rFonts w:ascii="Times New Roman" w:hAnsi="Times New Roman" w:cs="Times New Roman"/>
                          <w:b w:val="0"/>
                          <w:sz w:val="18"/>
                          <w:szCs w:val="18"/>
                        </w:rPr>
                        <w:t>Trichodesmium</w:t>
                      </w:r>
                      <w:proofErr w:type="spellEnd"/>
                      <w:r w:rsidRPr="00F774CA">
                        <w:rPr>
                          <w:rFonts w:ascii="Times New Roman" w:hAnsi="Times New Roman" w:cs="Times New Roman"/>
                          <w:b w:val="0"/>
                          <w:sz w:val="18"/>
                          <w:szCs w:val="18"/>
                        </w:rPr>
                        <w:t xml:space="preserve">; </w:t>
                      </w:r>
                      <w:proofErr w:type="spellStart"/>
                      <w:r w:rsidRPr="00F774CA">
                        <w:rPr>
                          <w:rFonts w:ascii="Times New Roman" w:hAnsi="Times New Roman" w:cs="Times New Roman"/>
                          <w:b w:val="0"/>
                          <w:sz w:val="18"/>
                          <w:szCs w:val="18"/>
                        </w:rPr>
                        <w:t>Cyano</w:t>
                      </w:r>
                      <w:proofErr w:type="spellEnd"/>
                      <w:r w:rsidRPr="00F774CA">
                        <w:rPr>
                          <w:rFonts w:ascii="Times New Roman" w:hAnsi="Times New Roman" w:cs="Times New Roman"/>
                          <w:b w:val="0"/>
                          <w:sz w:val="18"/>
                          <w:szCs w:val="18"/>
                        </w:rPr>
                        <w:t xml:space="preserve"> = cyanobacteria; Flag = </w:t>
                      </w:r>
                      <w:proofErr w:type="spellStart"/>
                      <w:r w:rsidRPr="00F774CA">
                        <w:rPr>
                          <w:rFonts w:ascii="Times New Roman" w:hAnsi="Times New Roman" w:cs="Times New Roman"/>
                          <w:b w:val="0"/>
                          <w:sz w:val="18"/>
                          <w:szCs w:val="18"/>
                        </w:rPr>
                        <w:t>mixotrophic</w:t>
                      </w:r>
                      <w:proofErr w:type="spellEnd"/>
                      <w:r w:rsidRPr="00F774CA">
                        <w:rPr>
                          <w:rFonts w:ascii="Times New Roman" w:hAnsi="Times New Roman" w:cs="Times New Roman"/>
                          <w:b w:val="0"/>
                          <w:sz w:val="18"/>
                          <w:szCs w:val="18"/>
                        </w:rPr>
                        <w:t xml:space="preserve"> flagellates; </w:t>
                      </w:r>
                      <w:proofErr w:type="spellStart"/>
                      <w:r w:rsidRPr="00F774CA">
                        <w:rPr>
                          <w:rFonts w:ascii="Times New Roman" w:hAnsi="Times New Roman" w:cs="Times New Roman"/>
                          <w:b w:val="0"/>
                          <w:sz w:val="18"/>
                          <w:szCs w:val="18"/>
                        </w:rPr>
                        <w:t>Dtm</w:t>
                      </w:r>
                      <w:proofErr w:type="spellEnd"/>
                      <w:r w:rsidRPr="00F774CA">
                        <w:rPr>
                          <w:rFonts w:ascii="Times New Roman" w:hAnsi="Times New Roman" w:cs="Times New Roman"/>
                          <w:b w:val="0"/>
                          <w:sz w:val="18"/>
                          <w:szCs w:val="18"/>
                        </w:rPr>
                        <w:t xml:space="preserve"> = diatoms; MIC = </w:t>
                      </w:r>
                      <w:proofErr w:type="spellStart"/>
                      <w:r w:rsidRPr="00F774CA">
                        <w:rPr>
                          <w:rFonts w:ascii="Times New Roman" w:hAnsi="Times New Roman" w:cs="Times New Roman"/>
                          <w:b w:val="0"/>
                          <w:sz w:val="18"/>
                          <w:szCs w:val="18"/>
                        </w:rPr>
                        <w:t>microzooplankton</w:t>
                      </w:r>
                      <w:proofErr w:type="spellEnd"/>
                      <w:r w:rsidRPr="00F774CA">
                        <w:rPr>
                          <w:rFonts w:ascii="Times New Roman" w:hAnsi="Times New Roman" w:cs="Times New Roman"/>
                          <w:b w:val="0"/>
                          <w:sz w:val="18"/>
                          <w:szCs w:val="18"/>
                        </w:rPr>
                        <w:t xml:space="preserve">; HNF = heterotrophic </w:t>
                      </w:r>
                      <w:proofErr w:type="spellStart"/>
                      <w:r w:rsidRPr="00F774CA">
                        <w:rPr>
                          <w:rFonts w:ascii="Times New Roman" w:hAnsi="Times New Roman" w:cs="Times New Roman"/>
                          <w:b w:val="0"/>
                          <w:sz w:val="18"/>
                          <w:szCs w:val="18"/>
                        </w:rPr>
                        <w:t>nanoflagellates</w:t>
                      </w:r>
                      <w:proofErr w:type="spellEnd"/>
                      <w:r w:rsidRPr="00F774CA">
                        <w:rPr>
                          <w:rFonts w:ascii="Times New Roman" w:hAnsi="Times New Roman" w:cs="Times New Roman"/>
                          <w:b w:val="0"/>
                          <w:sz w:val="18"/>
                          <w:szCs w:val="18"/>
                        </w:rPr>
                        <w:t xml:space="preserve">; App = </w:t>
                      </w:r>
                      <w:proofErr w:type="spellStart"/>
                      <w:r w:rsidRPr="00F774CA">
                        <w:rPr>
                          <w:rFonts w:ascii="Times New Roman" w:hAnsi="Times New Roman" w:cs="Times New Roman"/>
                          <w:b w:val="0"/>
                          <w:sz w:val="18"/>
                          <w:szCs w:val="18"/>
                        </w:rPr>
                        <w:t>appendicularians</w:t>
                      </w:r>
                      <w:proofErr w:type="spellEnd"/>
                      <w:r w:rsidRPr="00F774CA">
                        <w:rPr>
                          <w:rFonts w:ascii="Times New Roman" w:hAnsi="Times New Roman" w:cs="Times New Roman"/>
                          <w:b w:val="0"/>
                          <w:sz w:val="18"/>
                          <w:szCs w:val="18"/>
                        </w:rPr>
                        <w:t xml:space="preserve">; </w:t>
                      </w:r>
                      <w:proofErr w:type="spellStart"/>
                      <w:r w:rsidRPr="00F774CA">
                        <w:rPr>
                          <w:rFonts w:ascii="Times New Roman" w:hAnsi="Times New Roman" w:cs="Times New Roman"/>
                          <w:b w:val="0"/>
                          <w:sz w:val="18"/>
                          <w:szCs w:val="18"/>
                        </w:rPr>
                        <w:t>HerbVM</w:t>
                      </w:r>
                      <w:proofErr w:type="spellEnd"/>
                      <w:r w:rsidRPr="00F774CA">
                        <w:rPr>
                          <w:rFonts w:ascii="Times New Roman" w:hAnsi="Times New Roman" w:cs="Times New Roman"/>
                          <w:b w:val="0"/>
                          <w:sz w:val="18"/>
                          <w:szCs w:val="18"/>
                        </w:rPr>
                        <w:t xml:space="preserve"> = vertically-migrating herbivorous suspension feeders; </w:t>
                      </w:r>
                      <w:proofErr w:type="spellStart"/>
                      <w:r w:rsidRPr="00F774CA">
                        <w:rPr>
                          <w:rFonts w:ascii="Times New Roman" w:hAnsi="Times New Roman" w:cs="Times New Roman"/>
                          <w:b w:val="0"/>
                          <w:sz w:val="18"/>
                          <w:szCs w:val="18"/>
                        </w:rPr>
                        <w:t>HerbNVM</w:t>
                      </w:r>
                      <w:proofErr w:type="spellEnd"/>
                      <w:r w:rsidRPr="00F774CA">
                        <w:rPr>
                          <w:rFonts w:ascii="Times New Roman" w:hAnsi="Times New Roman" w:cs="Times New Roman"/>
                          <w:b w:val="0"/>
                          <w:sz w:val="18"/>
                          <w:szCs w:val="18"/>
                        </w:rPr>
                        <w:t xml:space="preserve"> = non-vertically migrating herbivorous suspension feeders; Clad = </w:t>
                      </w:r>
                      <w:proofErr w:type="spellStart"/>
                      <w:r w:rsidRPr="00F774CA">
                        <w:rPr>
                          <w:rFonts w:ascii="Times New Roman" w:hAnsi="Times New Roman" w:cs="Times New Roman"/>
                          <w:b w:val="0"/>
                          <w:sz w:val="18"/>
                          <w:szCs w:val="18"/>
                        </w:rPr>
                        <w:t>cladocerans</w:t>
                      </w:r>
                      <w:proofErr w:type="spellEnd"/>
                      <w:r w:rsidRPr="00F774CA">
                        <w:rPr>
                          <w:rFonts w:ascii="Times New Roman" w:hAnsi="Times New Roman" w:cs="Times New Roman"/>
                          <w:b w:val="0"/>
                          <w:sz w:val="18"/>
                          <w:szCs w:val="18"/>
                        </w:rPr>
                        <w:t xml:space="preserve">; </w:t>
                      </w:r>
                      <w:proofErr w:type="spellStart"/>
                      <w:r w:rsidRPr="00F774CA">
                        <w:rPr>
                          <w:rFonts w:ascii="Times New Roman" w:hAnsi="Times New Roman" w:cs="Times New Roman"/>
                          <w:b w:val="0"/>
                          <w:sz w:val="18"/>
                          <w:szCs w:val="18"/>
                        </w:rPr>
                        <w:t>nvmCal</w:t>
                      </w:r>
                      <w:proofErr w:type="spellEnd"/>
                      <w:r w:rsidRPr="00F774CA">
                        <w:rPr>
                          <w:rFonts w:ascii="Times New Roman" w:hAnsi="Times New Roman" w:cs="Times New Roman"/>
                          <w:b w:val="0"/>
                          <w:sz w:val="18"/>
                          <w:szCs w:val="18"/>
                        </w:rPr>
                        <w:t xml:space="preserve"> = non-vertically migrating </w:t>
                      </w:r>
                      <w:proofErr w:type="spellStart"/>
                      <w:r w:rsidRPr="00F774CA">
                        <w:rPr>
                          <w:rFonts w:ascii="Times New Roman" w:hAnsi="Times New Roman" w:cs="Times New Roman"/>
                          <w:b w:val="0"/>
                          <w:sz w:val="18"/>
                          <w:szCs w:val="18"/>
                        </w:rPr>
                        <w:t>calanoid</w:t>
                      </w:r>
                      <w:proofErr w:type="spellEnd"/>
                      <w:r w:rsidRPr="00F774CA">
                        <w:rPr>
                          <w:rFonts w:ascii="Times New Roman" w:hAnsi="Times New Roman" w:cs="Times New Roman"/>
                          <w:b w:val="0"/>
                          <w:sz w:val="18"/>
                          <w:szCs w:val="18"/>
                        </w:rPr>
                        <w:t xml:space="preserve"> copepods; </w:t>
                      </w:r>
                      <w:proofErr w:type="spellStart"/>
                      <w:r w:rsidRPr="00F774CA">
                        <w:rPr>
                          <w:rFonts w:ascii="Times New Roman" w:hAnsi="Times New Roman" w:cs="Times New Roman"/>
                          <w:b w:val="0"/>
                          <w:sz w:val="18"/>
                          <w:szCs w:val="18"/>
                        </w:rPr>
                        <w:t>vmCal</w:t>
                      </w:r>
                      <w:proofErr w:type="spellEnd"/>
                      <w:r w:rsidRPr="00F774CA">
                        <w:rPr>
                          <w:rFonts w:ascii="Times New Roman" w:hAnsi="Times New Roman" w:cs="Times New Roman"/>
                          <w:b w:val="0"/>
                          <w:sz w:val="18"/>
                          <w:szCs w:val="18"/>
                        </w:rPr>
                        <w:t xml:space="preserve"> = vertically-migrating </w:t>
                      </w:r>
                      <w:proofErr w:type="spellStart"/>
                      <w:r w:rsidRPr="00F774CA">
                        <w:rPr>
                          <w:rFonts w:ascii="Times New Roman" w:hAnsi="Times New Roman" w:cs="Times New Roman"/>
                          <w:b w:val="0"/>
                          <w:sz w:val="18"/>
                          <w:szCs w:val="18"/>
                        </w:rPr>
                        <w:t>calanoid</w:t>
                      </w:r>
                      <w:proofErr w:type="spellEnd"/>
                      <w:r w:rsidRPr="00F774CA">
                        <w:rPr>
                          <w:rFonts w:ascii="Times New Roman" w:hAnsi="Times New Roman" w:cs="Times New Roman"/>
                          <w:b w:val="0"/>
                          <w:sz w:val="18"/>
                          <w:szCs w:val="18"/>
                        </w:rPr>
                        <w:t xml:space="preserve"> copepods; </w:t>
                      </w:r>
                      <w:proofErr w:type="spellStart"/>
                      <w:r w:rsidRPr="00F774CA">
                        <w:rPr>
                          <w:rFonts w:ascii="Times New Roman" w:hAnsi="Times New Roman" w:cs="Times New Roman"/>
                          <w:b w:val="0"/>
                          <w:sz w:val="18"/>
                          <w:szCs w:val="18"/>
                        </w:rPr>
                        <w:t>Chaeto</w:t>
                      </w:r>
                      <w:proofErr w:type="spellEnd"/>
                      <w:r w:rsidRPr="00F774CA">
                        <w:rPr>
                          <w:rFonts w:ascii="Times New Roman" w:hAnsi="Times New Roman" w:cs="Times New Roman"/>
                          <w:b w:val="0"/>
                          <w:sz w:val="18"/>
                          <w:szCs w:val="18"/>
                        </w:rPr>
                        <w:t xml:space="preserve"> = </w:t>
                      </w:r>
                      <w:proofErr w:type="spellStart"/>
                      <w:r w:rsidRPr="00F774CA">
                        <w:rPr>
                          <w:rFonts w:ascii="Times New Roman" w:hAnsi="Times New Roman" w:cs="Times New Roman"/>
                          <w:b w:val="0"/>
                          <w:sz w:val="18"/>
                          <w:szCs w:val="18"/>
                        </w:rPr>
                        <w:t>chaetognaths</w:t>
                      </w:r>
                      <w:proofErr w:type="spellEnd"/>
                      <w:r w:rsidRPr="00F774CA">
                        <w:rPr>
                          <w:rFonts w:ascii="Times New Roman" w:hAnsi="Times New Roman" w:cs="Times New Roman"/>
                          <w:b w:val="0"/>
                          <w:sz w:val="18"/>
                          <w:szCs w:val="18"/>
                        </w:rPr>
                        <w:t xml:space="preserve">; </w:t>
                      </w:r>
                      <w:proofErr w:type="spellStart"/>
                      <w:r w:rsidRPr="00F774CA">
                        <w:rPr>
                          <w:rFonts w:ascii="Times New Roman" w:hAnsi="Times New Roman" w:cs="Times New Roman"/>
                          <w:b w:val="0"/>
                          <w:sz w:val="18"/>
                          <w:szCs w:val="18"/>
                        </w:rPr>
                        <w:t>Poecil</w:t>
                      </w:r>
                      <w:proofErr w:type="spellEnd"/>
                      <w:r w:rsidRPr="00F774CA">
                        <w:rPr>
                          <w:rFonts w:ascii="Times New Roman" w:hAnsi="Times New Roman" w:cs="Times New Roman"/>
                          <w:b w:val="0"/>
                          <w:sz w:val="18"/>
                          <w:szCs w:val="18"/>
                        </w:rPr>
                        <w:t xml:space="preserve"> = poecilostomatoid copepods; </w:t>
                      </w:r>
                      <w:proofErr w:type="spellStart"/>
                      <w:r w:rsidRPr="00F774CA">
                        <w:rPr>
                          <w:rFonts w:ascii="Times New Roman" w:hAnsi="Times New Roman" w:cs="Times New Roman"/>
                          <w:b w:val="0"/>
                          <w:sz w:val="18"/>
                          <w:szCs w:val="18"/>
                        </w:rPr>
                        <w:t>Preflex</w:t>
                      </w:r>
                      <w:proofErr w:type="spellEnd"/>
                      <w:r w:rsidRPr="00F774CA">
                        <w:rPr>
                          <w:rFonts w:ascii="Times New Roman" w:hAnsi="Times New Roman" w:cs="Times New Roman"/>
                          <w:b w:val="0"/>
                          <w:sz w:val="18"/>
                          <w:szCs w:val="18"/>
                        </w:rPr>
                        <w:t xml:space="preserve"> ABT = </w:t>
                      </w:r>
                      <w:proofErr w:type="spellStart"/>
                      <w:r w:rsidRPr="00F774CA">
                        <w:rPr>
                          <w:rFonts w:ascii="Times New Roman" w:hAnsi="Times New Roman" w:cs="Times New Roman"/>
                          <w:b w:val="0"/>
                          <w:sz w:val="18"/>
                          <w:szCs w:val="18"/>
                        </w:rPr>
                        <w:t>preflexion</w:t>
                      </w:r>
                      <w:proofErr w:type="spellEnd"/>
                      <w:r w:rsidRPr="00F774CA">
                        <w:rPr>
                          <w:rFonts w:ascii="Times New Roman" w:hAnsi="Times New Roman" w:cs="Times New Roman"/>
                          <w:b w:val="0"/>
                          <w:sz w:val="18"/>
                          <w:szCs w:val="18"/>
                        </w:rPr>
                        <w:t xml:space="preserve"> Atlantic Bluefin tuna; </w:t>
                      </w:r>
                      <w:proofErr w:type="spellStart"/>
                      <w:r w:rsidRPr="00F774CA">
                        <w:rPr>
                          <w:rFonts w:ascii="Times New Roman" w:hAnsi="Times New Roman" w:cs="Times New Roman"/>
                          <w:b w:val="0"/>
                          <w:sz w:val="18"/>
                          <w:szCs w:val="18"/>
                        </w:rPr>
                        <w:t>Postflex</w:t>
                      </w:r>
                      <w:proofErr w:type="spellEnd"/>
                      <w:r w:rsidRPr="00F774CA">
                        <w:rPr>
                          <w:rFonts w:ascii="Times New Roman" w:hAnsi="Times New Roman" w:cs="Times New Roman"/>
                          <w:b w:val="0"/>
                          <w:sz w:val="18"/>
                          <w:szCs w:val="18"/>
                        </w:rPr>
                        <w:t xml:space="preserve"> ABT = </w:t>
                      </w:r>
                      <w:proofErr w:type="spellStart"/>
                      <w:r w:rsidRPr="00F774CA">
                        <w:rPr>
                          <w:rFonts w:ascii="Times New Roman" w:hAnsi="Times New Roman" w:cs="Times New Roman"/>
                          <w:b w:val="0"/>
                          <w:sz w:val="18"/>
                          <w:szCs w:val="18"/>
                        </w:rPr>
                        <w:t>postflexion</w:t>
                      </w:r>
                      <w:proofErr w:type="spellEnd"/>
                      <w:r w:rsidRPr="00F774CA">
                        <w:rPr>
                          <w:rFonts w:ascii="Times New Roman" w:hAnsi="Times New Roman" w:cs="Times New Roman"/>
                          <w:b w:val="0"/>
                          <w:sz w:val="18"/>
                          <w:szCs w:val="18"/>
                        </w:rPr>
                        <w:t xml:space="preserve"> Atlantic Bluefin tuna; Gel = gelatinous predators (ctenophores and cnidarians); </w:t>
                      </w:r>
                      <w:proofErr w:type="spellStart"/>
                      <w:r w:rsidRPr="00F774CA">
                        <w:rPr>
                          <w:rFonts w:ascii="Times New Roman" w:hAnsi="Times New Roman" w:cs="Times New Roman"/>
                          <w:b w:val="0"/>
                          <w:sz w:val="18"/>
                          <w:szCs w:val="18"/>
                        </w:rPr>
                        <w:t>PlankFish</w:t>
                      </w:r>
                      <w:proofErr w:type="spellEnd"/>
                      <w:r w:rsidRPr="00F774CA">
                        <w:rPr>
                          <w:rFonts w:ascii="Times New Roman" w:hAnsi="Times New Roman" w:cs="Times New Roman"/>
                          <w:b w:val="0"/>
                          <w:sz w:val="18"/>
                          <w:szCs w:val="18"/>
                        </w:rPr>
                        <w:t xml:space="preserve"> = </w:t>
                      </w:r>
                      <w:proofErr w:type="spellStart"/>
                      <w:r w:rsidRPr="00F774CA">
                        <w:rPr>
                          <w:rFonts w:ascii="Times New Roman" w:hAnsi="Times New Roman" w:cs="Times New Roman"/>
                          <w:b w:val="0"/>
                          <w:sz w:val="18"/>
                          <w:szCs w:val="18"/>
                        </w:rPr>
                        <w:t>planktivorous</w:t>
                      </w:r>
                      <w:proofErr w:type="spellEnd"/>
                      <w:r w:rsidRPr="00F774CA">
                        <w:rPr>
                          <w:rFonts w:ascii="Times New Roman" w:hAnsi="Times New Roman" w:cs="Times New Roman"/>
                          <w:b w:val="0"/>
                          <w:sz w:val="18"/>
                          <w:szCs w:val="18"/>
                        </w:rPr>
                        <w:t xml:space="preserve"> fish.  </w:t>
                      </w:r>
                    </w:p>
                  </w:txbxContent>
                </v:textbox>
                <w10:wrap type="topAndBottom"/>
              </v:shape>
            </w:pict>
          </mc:Fallback>
        </mc:AlternateContent>
      </w:r>
      <w:r w:rsidR="00001248" w:rsidRPr="00F774CA">
        <w:rPr>
          <w:rFonts w:ascii="Times New Roman" w:hAnsi="Times New Roman" w:cs="Times New Roman"/>
          <w:b w:val="0"/>
          <w:sz w:val="20"/>
          <w:szCs w:val="20"/>
        </w:rPr>
        <w:t>The goal of this code was to develop an approach sufficient to constrain an underdetermined ecosystem model for the open-ocean Gulf of Mexico with a specific focus on trophic pathways of larval Atlantic Bluefin tuna that live in the upper euphotic zone.  The model differentiates between a lower euphotic zone (extending from the depth of the d</w:t>
      </w:r>
      <w:r w:rsidR="004F4141" w:rsidRPr="00F774CA">
        <w:rPr>
          <w:rFonts w:ascii="Times New Roman" w:hAnsi="Times New Roman" w:cs="Times New Roman"/>
          <w:b w:val="0"/>
          <w:sz w:val="20"/>
          <w:szCs w:val="20"/>
        </w:rPr>
        <w:t xml:space="preserve">eep chlorophyll maximum to a depth of 50 m) and the upper euphotic zone (surface to 50 m depth).  </w:t>
      </w:r>
      <w:r>
        <w:rPr>
          <w:rFonts w:ascii="Times New Roman" w:hAnsi="Times New Roman" w:cs="Times New Roman"/>
          <w:b w:val="0"/>
          <w:sz w:val="20"/>
          <w:szCs w:val="20"/>
        </w:rPr>
        <w:t xml:space="preserve">The model includes a total of 302 unknown ecosystem </w:t>
      </w:r>
      <w:r w:rsidR="00DB6E02">
        <w:rPr>
          <w:rFonts w:ascii="Times New Roman" w:hAnsi="Times New Roman" w:cs="Times New Roman"/>
          <w:b w:val="0"/>
          <w:sz w:val="20"/>
          <w:szCs w:val="20"/>
        </w:rPr>
        <w:t xml:space="preserve">nitrogen </w:t>
      </w:r>
      <w:r>
        <w:rPr>
          <w:rFonts w:ascii="Times New Roman" w:hAnsi="Times New Roman" w:cs="Times New Roman"/>
          <w:b w:val="0"/>
          <w:sz w:val="20"/>
          <w:szCs w:val="20"/>
        </w:rPr>
        <w:t xml:space="preserve">flows to be solved for.  </w:t>
      </w:r>
      <w:r w:rsidR="00DB6E02">
        <w:rPr>
          <w:rFonts w:ascii="Times New Roman" w:hAnsi="Times New Roman" w:cs="Times New Roman"/>
          <w:b w:val="0"/>
          <w:sz w:val="20"/>
          <w:szCs w:val="20"/>
        </w:rPr>
        <w:t xml:space="preserve">It includes 44 mass balance (exact </w:t>
      </w:r>
      <w:r w:rsidR="00DB6E02">
        <w:rPr>
          <w:rFonts w:ascii="Times New Roman" w:hAnsi="Times New Roman" w:cs="Times New Roman"/>
          <w:b w:val="0"/>
          <w:sz w:val="20"/>
          <w:szCs w:val="20"/>
        </w:rPr>
        <w:lastRenderedPageBreak/>
        <w:t>equality) equations</w:t>
      </w:r>
      <w:proofErr w:type="gramStart"/>
      <w:r w:rsidR="00DB6E02">
        <w:rPr>
          <w:rFonts w:ascii="Times New Roman" w:hAnsi="Times New Roman" w:cs="Times New Roman"/>
          <w:b w:val="0"/>
          <w:sz w:val="20"/>
          <w:szCs w:val="20"/>
        </w:rPr>
        <w:t>,  82</w:t>
      </w:r>
      <w:proofErr w:type="gramEnd"/>
      <w:r w:rsidR="00DB6E02">
        <w:rPr>
          <w:rFonts w:ascii="Times New Roman" w:hAnsi="Times New Roman" w:cs="Times New Roman"/>
          <w:b w:val="0"/>
          <w:sz w:val="20"/>
          <w:szCs w:val="20"/>
        </w:rPr>
        <w:t xml:space="preserve"> approximate equality constraints (including 38 field rate measurements and 44 nitrogen </w:t>
      </w:r>
      <w:proofErr w:type="spellStart"/>
      <w:r w:rsidR="00DB6E02">
        <w:rPr>
          <w:rFonts w:ascii="Times New Roman" w:hAnsi="Times New Roman" w:cs="Times New Roman"/>
          <w:b w:val="0"/>
          <w:sz w:val="20"/>
          <w:szCs w:val="20"/>
        </w:rPr>
        <w:t>istope</w:t>
      </w:r>
      <w:proofErr w:type="spellEnd"/>
      <w:r w:rsidR="00DB6E02">
        <w:rPr>
          <w:rFonts w:ascii="Times New Roman" w:hAnsi="Times New Roman" w:cs="Times New Roman"/>
          <w:b w:val="0"/>
          <w:sz w:val="20"/>
          <w:szCs w:val="20"/>
        </w:rPr>
        <w:t xml:space="preserve"> mass balance equations), and 254 inequality constraints.  </w:t>
      </w:r>
      <w:r>
        <w:rPr>
          <w:rFonts w:ascii="Times New Roman" w:hAnsi="Times New Roman" w:cs="Times New Roman"/>
          <w:b w:val="0"/>
          <w:sz w:val="20"/>
          <w:szCs w:val="20"/>
        </w:rPr>
        <w:t xml:space="preserve">An overview of the model is shown in Fig. 1.  Full details of the model are available in </w:t>
      </w:r>
      <w:proofErr w:type="spellStart"/>
      <w:r>
        <w:rPr>
          <w:rFonts w:ascii="Times New Roman" w:hAnsi="Times New Roman" w:cs="Times New Roman"/>
          <w:b w:val="0"/>
          <w:sz w:val="20"/>
          <w:szCs w:val="20"/>
        </w:rPr>
        <w:t>Stukel</w:t>
      </w:r>
      <w:proofErr w:type="spellEnd"/>
      <w:r>
        <w:rPr>
          <w:rFonts w:ascii="Times New Roman" w:hAnsi="Times New Roman" w:cs="Times New Roman"/>
          <w:b w:val="0"/>
          <w:sz w:val="20"/>
          <w:szCs w:val="20"/>
        </w:rPr>
        <w:t xml:space="preserve"> et al. </w:t>
      </w:r>
      <w:r>
        <w:rPr>
          <w:rFonts w:ascii="Times New Roman" w:hAnsi="Times New Roman" w:cs="Times New Roman"/>
          <w:b w:val="0"/>
          <w:sz w:val="20"/>
          <w:szCs w:val="20"/>
        </w:rPr>
        <w:fldChar w:fldCharType="begin"/>
      </w:r>
      <w:r>
        <w:rPr>
          <w:rFonts w:ascii="Times New Roman" w:hAnsi="Times New Roman" w:cs="Times New Roman"/>
          <w:b w:val="0"/>
          <w:sz w:val="20"/>
          <w:szCs w:val="20"/>
        </w:rPr>
        <w:instrText xml:space="preserve"> ADDIN EN.CITE &lt;EndNote&gt;&lt;Cite ExcludeAuth="1"&gt;&lt;Author&gt;Stukel&lt;/Author&gt;&lt;Year&gt;2021&lt;/Year&gt;&lt;RecNum&gt;4909&lt;/RecNum&gt;&lt;DisplayText&gt;(2021)&lt;/DisplayText&gt;&lt;record&gt;&lt;rec-number&gt;4909&lt;/rec-number&gt;&lt;foreign-keys&gt;&lt;key app="EN" db-id="pdf0vt00zdwazbete5tvsv00552aw0pz99af"&gt;4909&lt;/key&gt;&lt;/foreign-keys&gt;&lt;ref-type name="Journal Article"&gt;17&lt;/ref-type&gt;&lt;contributors&gt;&lt;authors&gt;&lt;author&gt;Stukel, M. R.&lt;/author&gt;&lt;author&gt;Gerard, T.&lt;/author&gt;&lt;author&gt;Kelly, T. B.&lt;/author&gt;&lt;author&gt;Knapp, A. N.&lt;/author&gt;&lt;author&gt;Laiz-Carrión, R.&lt;/author&gt;&lt;author&gt;Lamkin, J.&lt;/author&gt;&lt;author&gt;Landry, M. R.&lt;/author&gt;&lt;author&gt;Malca, E.&lt;/author&gt;&lt;author&gt;Shiroza, A.&lt;/author&gt;&lt;author&gt;Shropshire. T. A.&lt;/author&gt;&lt;author&gt;Selph, K. E.&lt;/author&gt;&lt;author&gt;Swalethorp, R.&lt;/author&gt;&lt;/authors&gt;&lt;/contributors&gt;&lt;titles&gt;&lt;title&gt;Plankton food webs of the Gulf of Mexico spawning grounds of Atlantic Bluefin tuna&lt;/title&gt;&lt;secondary-title&gt;Journal of Plankton Research&lt;/secondary-title&gt;&lt;alt-title&gt;J. Plankton Res.&lt;/alt-title&gt;&lt;/titles&gt;&lt;periodical&gt;&lt;full-title&gt;Journal of Plankton Research&lt;/full-title&gt;&lt;abbr-1&gt;J. Plankton Res.&lt;/abbr-1&gt;&lt;/periodical&gt;&lt;alt-periodical&gt;&lt;full-title&gt;Journal of Plankton Research&lt;/full-title&gt;&lt;abbr-1&gt;J. Plankton Res.&lt;/abbr-1&gt;&lt;/alt-periodical&gt;&lt;dates&gt;&lt;year&gt;2021&lt;/year&gt;&lt;/dates&gt;&lt;urls&gt;&lt;/urls&gt;&lt;/record&gt;&lt;/Cite&gt;&lt;/EndNote&gt;</w:instrText>
      </w:r>
      <w:r>
        <w:rPr>
          <w:rFonts w:ascii="Times New Roman" w:hAnsi="Times New Roman" w:cs="Times New Roman"/>
          <w:b w:val="0"/>
          <w:sz w:val="20"/>
          <w:szCs w:val="20"/>
        </w:rPr>
        <w:fldChar w:fldCharType="separate"/>
      </w:r>
      <w:r>
        <w:rPr>
          <w:rFonts w:ascii="Times New Roman" w:hAnsi="Times New Roman" w:cs="Times New Roman"/>
          <w:b w:val="0"/>
          <w:noProof/>
          <w:sz w:val="20"/>
          <w:szCs w:val="20"/>
        </w:rPr>
        <w:t>(</w:t>
      </w:r>
      <w:hyperlink w:anchor="_ENREF_4" w:tooltip="Stukel, 2021 #4909" w:history="1">
        <w:r>
          <w:rPr>
            <w:rFonts w:ascii="Times New Roman" w:hAnsi="Times New Roman" w:cs="Times New Roman"/>
            <w:b w:val="0"/>
            <w:noProof/>
            <w:sz w:val="20"/>
            <w:szCs w:val="20"/>
          </w:rPr>
          <w:t>2021</w:t>
        </w:r>
      </w:hyperlink>
      <w:r>
        <w:rPr>
          <w:rFonts w:ascii="Times New Roman" w:hAnsi="Times New Roman" w:cs="Times New Roman"/>
          <w:b w:val="0"/>
          <w:noProof/>
          <w:sz w:val="20"/>
          <w:szCs w:val="20"/>
        </w:rPr>
        <w:t>)</w:t>
      </w:r>
      <w:r>
        <w:rPr>
          <w:rFonts w:ascii="Times New Roman" w:hAnsi="Times New Roman" w:cs="Times New Roman"/>
          <w:b w:val="0"/>
          <w:sz w:val="20"/>
          <w:szCs w:val="20"/>
        </w:rPr>
        <w:fldChar w:fldCharType="end"/>
      </w:r>
      <w:r>
        <w:rPr>
          <w:rFonts w:ascii="Times New Roman" w:hAnsi="Times New Roman" w:cs="Times New Roman"/>
          <w:b w:val="0"/>
          <w:sz w:val="20"/>
          <w:szCs w:val="20"/>
        </w:rPr>
        <w:t xml:space="preserve">.  If you do not have access to that manuscript, a pre-print is available: </w:t>
      </w:r>
      <w:r>
        <w:rPr>
          <w:rFonts w:ascii="Times New Roman" w:hAnsi="Times New Roman" w:cs="Times New Roman"/>
          <w:b w:val="0"/>
          <w:sz w:val="20"/>
          <w:szCs w:val="20"/>
        </w:rPr>
        <w:fldChar w:fldCharType="begin"/>
      </w:r>
      <w:r>
        <w:rPr>
          <w:rFonts w:ascii="Times New Roman" w:hAnsi="Times New Roman" w:cs="Times New Roman"/>
          <w:b w:val="0"/>
          <w:sz w:val="20"/>
          <w:szCs w:val="20"/>
        </w:rPr>
        <w:instrText xml:space="preserve"> ADDIN EN.CITE &lt;EndNote&gt;&lt;Cite&gt;&lt;Author&gt;Stukel&lt;/Author&gt;&lt;Year&gt;2020&lt;/Year&gt;&lt;RecNum&gt;4912&lt;/RecNum&gt;&lt;DisplayText&gt;(Stukel et al., 2020)&lt;/DisplayText&gt;&lt;record&gt;&lt;rec-number&gt;4912&lt;/rec-number&gt;&lt;foreign-keys&gt;&lt;key app="EN" db-id="pdf0vt00zdwazbete5tvsv00552aw0pz99af"&gt;4912&lt;/key&gt;&lt;/foreign-keys&gt;&lt;ref-type name="Journal Article"&gt;17&lt;/ref-type&gt;&lt;contributors&gt;&lt;authors&gt;&lt;author&gt;Stukel, Michael R&lt;/author&gt;&lt;author&gt;Gerard, Trika&lt;/author&gt;&lt;author&gt;Kelly, Thomas B&lt;/author&gt;&lt;author&gt;Knapp, Angela N&lt;/author&gt;&lt;author&gt;Laiz-Carrion, Raul&lt;/author&gt;&lt;author&gt;Lamkin, John&lt;/author&gt;&lt;author&gt;Landry, Michael R&lt;/author&gt;&lt;author&gt;Malca, Estrella&lt;/author&gt;&lt;author&gt;Selph, Karen E&lt;/author&gt;&lt;author&gt;Shiroza, Akihiro&lt;/author&gt;&lt;author&gt;Shropshire, Taylor A&lt;/author&gt;&lt;author&gt;Swalethorp, Rasmus R&lt;/author&gt;&lt;/authors&gt;&lt;/contributors&gt;&lt;titles&gt;&lt;title&gt;Plankton food webs of the Gulf of Mexico spawning grounds of Atlantic Bluefin tuna&lt;/title&gt;&lt;secondary-title&gt;bioRxiv&lt;/secondary-title&gt;&lt;/titles&gt;&lt;periodical&gt;&lt;full-title&gt;bioRxiv&lt;/full-title&gt;&lt;/periodical&gt;&lt;pages&gt;2020.07.29.227116&lt;/pages&gt;&lt;dates&gt;&lt;year&gt;2020&lt;/year&gt;&lt;/dates&gt;&lt;urls&gt;&lt;related-urls&gt;&lt;url&gt;https://www.biorxiv.org/content/biorxiv/early/2020/07/30/2020.07.29.227116.full.pdf&lt;/url&gt;&lt;/related-urls&gt;&lt;/urls&gt;&lt;electronic-resource-num&gt;10.1101/2020.07.29.227116&lt;/electronic-resource-num&gt;&lt;/record&gt;&lt;/Cite&gt;&lt;/EndNote&gt;</w:instrText>
      </w:r>
      <w:r>
        <w:rPr>
          <w:rFonts w:ascii="Times New Roman" w:hAnsi="Times New Roman" w:cs="Times New Roman"/>
          <w:b w:val="0"/>
          <w:sz w:val="20"/>
          <w:szCs w:val="20"/>
        </w:rPr>
        <w:fldChar w:fldCharType="separate"/>
      </w:r>
      <w:r>
        <w:rPr>
          <w:rFonts w:ascii="Times New Roman" w:hAnsi="Times New Roman" w:cs="Times New Roman"/>
          <w:b w:val="0"/>
          <w:noProof/>
          <w:sz w:val="20"/>
          <w:szCs w:val="20"/>
        </w:rPr>
        <w:t>(</w:t>
      </w:r>
      <w:hyperlink w:anchor="_ENREF_3" w:tooltip="Stukel, 2020 #4912" w:history="1">
        <w:r>
          <w:rPr>
            <w:rFonts w:ascii="Times New Roman" w:hAnsi="Times New Roman" w:cs="Times New Roman"/>
            <w:b w:val="0"/>
            <w:noProof/>
            <w:sz w:val="20"/>
            <w:szCs w:val="20"/>
          </w:rPr>
          <w:t>Stukel et al., 2020</w:t>
        </w:r>
      </w:hyperlink>
      <w:r>
        <w:rPr>
          <w:rFonts w:ascii="Times New Roman" w:hAnsi="Times New Roman" w:cs="Times New Roman"/>
          <w:b w:val="0"/>
          <w:noProof/>
          <w:sz w:val="20"/>
          <w:szCs w:val="20"/>
        </w:rPr>
        <w:t>)</w:t>
      </w:r>
      <w:r>
        <w:rPr>
          <w:rFonts w:ascii="Times New Roman" w:hAnsi="Times New Roman" w:cs="Times New Roman"/>
          <w:b w:val="0"/>
          <w:sz w:val="20"/>
          <w:szCs w:val="20"/>
        </w:rPr>
        <w:fldChar w:fldCharType="end"/>
      </w:r>
      <w:r>
        <w:rPr>
          <w:rFonts w:ascii="Times New Roman" w:hAnsi="Times New Roman" w:cs="Times New Roman"/>
          <w:b w:val="0"/>
          <w:sz w:val="20"/>
          <w:szCs w:val="20"/>
        </w:rPr>
        <w:t>.</w:t>
      </w:r>
    </w:p>
    <w:p w:rsidR="00001248" w:rsidRPr="00DB6E02" w:rsidRDefault="00DB6E02">
      <w:r w:rsidRPr="00DB6E02">
        <w:t>Files</w:t>
      </w:r>
    </w:p>
    <w:p w:rsidR="00DB6E02" w:rsidRDefault="00DB6E02">
      <w:pPr>
        <w:rPr>
          <w:b w:val="0"/>
        </w:rPr>
      </w:pPr>
      <w:r w:rsidRPr="00DB6E02">
        <w:t xml:space="preserve">N15InverseModelRW.GOM.xlsx </w:t>
      </w:r>
      <w:r w:rsidRPr="00DB6E02">
        <w:rPr>
          <w:b w:val="0"/>
        </w:rPr>
        <w:t>and</w:t>
      </w:r>
      <w:r w:rsidRPr="00DB6E02">
        <w:t xml:space="preserve"> N15InverseModelRW-C5.GOM:</w:t>
      </w:r>
      <w:r>
        <w:rPr>
          <w:b w:val="0"/>
        </w:rPr>
        <w:t xml:space="preserve">  These files contain the model structure in an easily readable excel format.  Note that because of slight differences in measurements between the two cycles, they differ slightly between Cycle 1 and Cycle 5 (to different </w:t>
      </w:r>
      <w:proofErr w:type="spellStart"/>
      <w:r>
        <w:rPr>
          <w:b w:val="0"/>
        </w:rPr>
        <w:t>Lagrangian</w:t>
      </w:r>
      <w:proofErr w:type="spellEnd"/>
      <w:r>
        <w:rPr>
          <w:b w:val="0"/>
        </w:rPr>
        <w:t xml:space="preserve"> experiments from which the data are derived).  </w:t>
      </w:r>
    </w:p>
    <w:p w:rsidR="00DB6E02" w:rsidRDefault="00DB6E02">
      <w:pPr>
        <w:rPr>
          <w:b w:val="0"/>
        </w:rPr>
      </w:pPr>
      <w:r w:rsidRPr="00DB6E02">
        <w:t>Inputs.xlsx:</w:t>
      </w:r>
      <w:r>
        <w:rPr>
          <w:b w:val="0"/>
        </w:rPr>
        <w:t xml:space="preserve"> This excel file includes </w:t>
      </w:r>
      <w:proofErr w:type="gramStart"/>
      <w:r>
        <w:rPr>
          <w:b w:val="0"/>
        </w:rPr>
        <w:t>all the</w:t>
      </w:r>
      <w:proofErr w:type="gramEnd"/>
      <w:r>
        <w:rPr>
          <w:b w:val="0"/>
        </w:rPr>
        <w:t xml:space="preserve"> field data used to constrain the inverse model.</w:t>
      </w:r>
    </w:p>
    <w:p w:rsidR="00DB6E02" w:rsidRDefault="00DB6E02">
      <w:pPr>
        <w:rPr>
          <w:b w:val="0"/>
        </w:rPr>
      </w:pPr>
      <w:r w:rsidRPr="00DB6E02">
        <w:t>SetMatricesN15GoM</w:t>
      </w:r>
      <w:r>
        <w:t>.m</w:t>
      </w:r>
      <w:r w:rsidRPr="00DB6E02">
        <w:t xml:space="preserve"> </w:t>
      </w:r>
      <w:r w:rsidRPr="00DB6E02">
        <w:rPr>
          <w:b w:val="0"/>
        </w:rPr>
        <w:t>and</w:t>
      </w:r>
      <w:r w:rsidRPr="00DB6E02">
        <w:t xml:space="preserve"> SetMatricesN15GoMC5</w:t>
      </w:r>
      <w:r>
        <w:t>.m</w:t>
      </w:r>
      <w:r w:rsidRPr="00DB6E02">
        <w:t>:</w:t>
      </w:r>
      <w:r>
        <w:rPr>
          <w:b w:val="0"/>
        </w:rPr>
        <w:t xml:space="preserve">  These </w:t>
      </w:r>
      <w:proofErr w:type="spellStart"/>
      <w:r>
        <w:rPr>
          <w:b w:val="0"/>
        </w:rPr>
        <w:t>Matlab</w:t>
      </w:r>
      <w:proofErr w:type="spellEnd"/>
      <w:r>
        <w:rPr>
          <w:b w:val="0"/>
        </w:rPr>
        <w:t xml:space="preserve"> files can be used to read the aforementioned excel files and create the matrices needed to run the LIM-N15-BLOOFINZ-GoM model.  The files that they will create are called N15GoMInverseCycle1.mat and N15GoMInverseCycle5.mat</w:t>
      </w:r>
    </w:p>
    <w:p w:rsidR="00DB6E02" w:rsidRDefault="00DB6E02">
      <w:pPr>
        <w:rPr>
          <w:b w:val="0"/>
        </w:rPr>
      </w:pPr>
      <w:r w:rsidRPr="00DB6E02">
        <w:t>N15GoMInverseCycle1.mat and N15GoMInverseCycle5.mat</w:t>
      </w:r>
      <w:r w:rsidRPr="00DB6E02">
        <w:t xml:space="preserve">:  </w:t>
      </w:r>
      <w:r>
        <w:rPr>
          <w:b w:val="0"/>
        </w:rPr>
        <w:t xml:space="preserve">These files (created by </w:t>
      </w:r>
      <w:r w:rsidRPr="00DB6E02">
        <w:rPr>
          <w:b w:val="0"/>
        </w:rPr>
        <w:t>SetMatricesN15GoM.m and SetMatricesN15GoMC5.m</w:t>
      </w:r>
      <w:r>
        <w:rPr>
          <w:b w:val="0"/>
        </w:rPr>
        <w:t xml:space="preserve">) contain the matrices that must be solved by the LIM+15N procedure, as well as the </w:t>
      </w:r>
      <w:r>
        <w:rPr>
          <w:rFonts w:cstheme="minorHAnsi"/>
          <w:b w:val="0"/>
        </w:rPr>
        <w:t>δ</w:t>
      </w:r>
      <w:r w:rsidRPr="00DB6E02">
        <w:rPr>
          <w:b w:val="0"/>
          <w:vertAlign w:val="superscript"/>
        </w:rPr>
        <w:t>15</w:t>
      </w:r>
      <w:r>
        <w:rPr>
          <w:b w:val="0"/>
        </w:rPr>
        <w:t>N values that add additional constrain to the random walk.</w:t>
      </w:r>
    </w:p>
    <w:p w:rsidR="00DB6E02" w:rsidRDefault="00DB6E02">
      <w:pPr>
        <w:rPr>
          <w:b w:val="0"/>
        </w:rPr>
      </w:pPr>
      <w:r w:rsidRPr="00F96D2D">
        <w:t>RunN15InverseRW</w:t>
      </w:r>
      <w:r w:rsidR="00F96D2D">
        <w:t>.R</w:t>
      </w:r>
      <w:r w:rsidRPr="00F96D2D">
        <w:t xml:space="preserve"> </w:t>
      </w:r>
      <w:r w:rsidRPr="00F96D2D">
        <w:rPr>
          <w:b w:val="0"/>
        </w:rPr>
        <w:t xml:space="preserve">and </w:t>
      </w:r>
      <w:r w:rsidRPr="00F96D2D">
        <w:t>RunN15InverseRWcycle5</w:t>
      </w:r>
      <w:r w:rsidR="00F96D2D">
        <w:t>.R</w:t>
      </w:r>
      <w:r w:rsidRPr="00F96D2D">
        <w:t>:</w:t>
      </w:r>
      <w:r>
        <w:rPr>
          <w:b w:val="0"/>
        </w:rPr>
        <w:t xml:space="preserve">  These are the codes that run the model</w:t>
      </w:r>
      <w:r w:rsidR="00F96D2D">
        <w:rPr>
          <w:b w:val="0"/>
        </w:rPr>
        <w:t xml:space="preserve"> in R</w:t>
      </w:r>
      <w:r>
        <w:rPr>
          <w:b w:val="0"/>
        </w:rPr>
        <w:t xml:space="preserve">.  </w:t>
      </w:r>
      <w:r w:rsidR="00F96D2D">
        <w:rPr>
          <w:b w:val="0"/>
        </w:rPr>
        <w:t xml:space="preserve">They rely on the presence of the input files (the .mat files mentioned previously) as well as the xsampleN15outputs.R and </w:t>
      </w:r>
      <w:proofErr w:type="spellStart"/>
      <w:r w:rsidR="00F96D2D">
        <w:rPr>
          <w:b w:val="0"/>
        </w:rPr>
        <w:t>ExternalFunctions.R</w:t>
      </w:r>
      <w:proofErr w:type="spellEnd"/>
      <w:r w:rsidR="00F96D2D">
        <w:rPr>
          <w:b w:val="0"/>
        </w:rPr>
        <w:t xml:space="preserve"> files.  They will create files named N15GoMInverseCycle1.mat or N15GomInverseCycle5.mat that contained the model solutions.  These solutions are stored in the variables </w:t>
      </w:r>
      <w:proofErr w:type="spellStart"/>
      <w:r w:rsidR="00F96D2D">
        <w:rPr>
          <w:b w:val="0"/>
        </w:rPr>
        <w:t>MCMCmat</w:t>
      </w:r>
      <w:proofErr w:type="spellEnd"/>
      <w:r w:rsidR="00F96D2D">
        <w:rPr>
          <w:b w:val="0"/>
        </w:rPr>
        <w:t xml:space="preserve"> and del15N.  Please note that the model included online is configured to run with only 200,000 iterations so that users can test to ensure that it is working.  However, for the manuscript we ran it with &gt;100,000,000 iterations.  </w:t>
      </w:r>
    </w:p>
    <w:p w:rsidR="00F96D2D" w:rsidRDefault="00F96D2D">
      <w:r w:rsidRPr="00F96D2D">
        <w:t>xsampleN15outputs.R</w:t>
      </w:r>
      <w:r>
        <w:rPr>
          <w:b w:val="0"/>
        </w:rPr>
        <w:t xml:space="preserve">:  This is the file that actually runs the MCMC+15N inverse.  It is called by the </w:t>
      </w:r>
      <w:r w:rsidRPr="00F96D2D">
        <w:rPr>
          <w:b w:val="0"/>
        </w:rPr>
        <w:t>RunN15InverseRW.R and RunN15InverseRWcycle5.R</w:t>
      </w:r>
      <w:r w:rsidRPr="00F96D2D">
        <w:rPr>
          <w:b w:val="0"/>
        </w:rPr>
        <w:t xml:space="preserve"> </w:t>
      </w:r>
      <w:r>
        <w:rPr>
          <w:b w:val="0"/>
        </w:rPr>
        <w:t>files</w:t>
      </w:r>
      <w:r>
        <w:t xml:space="preserve">.  </w:t>
      </w:r>
    </w:p>
    <w:p w:rsidR="00F96D2D" w:rsidRDefault="00F96D2D">
      <w:pPr>
        <w:rPr>
          <w:b w:val="0"/>
        </w:rPr>
      </w:pPr>
      <w:proofErr w:type="spellStart"/>
      <w:r>
        <w:t>ExternalFunctions.R</w:t>
      </w:r>
      <w:proofErr w:type="spellEnd"/>
      <w:r>
        <w:t xml:space="preserve">:  </w:t>
      </w:r>
      <w:r w:rsidRPr="00F96D2D">
        <w:rPr>
          <w:b w:val="0"/>
        </w:rPr>
        <w:t>This file is called by xsampleN15outputs.R</w:t>
      </w:r>
      <w:r>
        <w:rPr>
          <w:b w:val="0"/>
        </w:rPr>
        <w:t xml:space="preserve"> and serves to re-set the approximate equality matrix (</w:t>
      </w:r>
      <w:proofErr w:type="gramStart"/>
      <w:r>
        <w:rPr>
          <w:b w:val="0"/>
        </w:rPr>
        <w:t>Aa</w:t>
      </w:r>
      <w:proofErr w:type="gramEnd"/>
      <w:r>
        <w:rPr>
          <w:b w:val="0"/>
        </w:rPr>
        <w:t xml:space="preserve">) based on changes in the estimated </w:t>
      </w:r>
      <w:r>
        <w:rPr>
          <w:rFonts w:cstheme="minorHAnsi"/>
          <w:b w:val="0"/>
        </w:rPr>
        <w:t>δ</w:t>
      </w:r>
      <w:r w:rsidRPr="00F96D2D">
        <w:rPr>
          <w:b w:val="0"/>
          <w:vertAlign w:val="superscript"/>
        </w:rPr>
        <w:t>15</w:t>
      </w:r>
      <w:r>
        <w:rPr>
          <w:b w:val="0"/>
        </w:rPr>
        <w:t>N of each model compartment as stored in the d15N vector.</w:t>
      </w:r>
    </w:p>
    <w:p w:rsidR="00001248" w:rsidRPr="00F96D2D" w:rsidRDefault="00001248">
      <w:pPr>
        <w:rPr>
          <w:rFonts w:ascii="Times New Roman" w:hAnsi="Times New Roman" w:cs="Times New Roman"/>
          <w:sz w:val="20"/>
          <w:szCs w:val="20"/>
        </w:rPr>
      </w:pPr>
      <w:r w:rsidRPr="00F96D2D">
        <w:rPr>
          <w:rFonts w:ascii="Times New Roman" w:hAnsi="Times New Roman" w:cs="Times New Roman"/>
          <w:sz w:val="20"/>
          <w:szCs w:val="20"/>
        </w:rPr>
        <w:t>References</w:t>
      </w:r>
    </w:p>
    <w:p w:rsidR="00F774CA" w:rsidRPr="00F96D2D" w:rsidRDefault="00001248" w:rsidP="00F774CA">
      <w:pPr>
        <w:spacing w:after="0" w:line="240" w:lineRule="auto"/>
        <w:ind w:left="720" w:hanging="720"/>
        <w:rPr>
          <w:rFonts w:ascii="Times New Roman" w:hAnsi="Times New Roman" w:cs="Times New Roman"/>
          <w:b w:val="0"/>
          <w:noProof/>
          <w:sz w:val="20"/>
          <w:szCs w:val="20"/>
        </w:rPr>
      </w:pPr>
      <w:r w:rsidRPr="00F96D2D">
        <w:rPr>
          <w:rFonts w:ascii="Times New Roman" w:hAnsi="Times New Roman" w:cs="Times New Roman"/>
          <w:b w:val="0"/>
          <w:sz w:val="20"/>
          <w:szCs w:val="20"/>
        </w:rPr>
        <w:fldChar w:fldCharType="begin"/>
      </w:r>
      <w:r w:rsidRPr="00F96D2D">
        <w:rPr>
          <w:rFonts w:ascii="Times New Roman" w:hAnsi="Times New Roman" w:cs="Times New Roman"/>
          <w:b w:val="0"/>
          <w:sz w:val="20"/>
          <w:szCs w:val="20"/>
        </w:rPr>
        <w:instrText xml:space="preserve"> ADDIN EN.REFLIST </w:instrText>
      </w:r>
      <w:r w:rsidRPr="00F96D2D">
        <w:rPr>
          <w:rFonts w:ascii="Times New Roman" w:hAnsi="Times New Roman" w:cs="Times New Roman"/>
          <w:b w:val="0"/>
          <w:sz w:val="20"/>
          <w:szCs w:val="20"/>
        </w:rPr>
        <w:fldChar w:fldCharType="separate"/>
      </w:r>
      <w:bookmarkStart w:id="0" w:name="_ENREF_1"/>
      <w:r w:rsidR="00F774CA" w:rsidRPr="00F96D2D">
        <w:rPr>
          <w:rFonts w:ascii="Times New Roman" w:hAnsi="Times New Roman" w:cs="Times New Roman"/>
          <w:b w:val="0"/>
          <w:noProof/>
          <w:sz w:val="20"/>
          <w:szCs w:val="20"/>
        </w:rPr>
        <w:t>Stukel, M.R., Décima, M. and Kelly, T.B., 2018a. A new approach for incorporating 15N isotopic data into linear inverse ecosystem models with Markov Chain Monte Carlo sampling. PloS one, 13(6): e0199123.</w:t>
      </w:r>
      <w:bookmarkEnd w:id="0"/>
    </w:p>
    <w:p w:rsidR="00F774CA" w:rsidRPr="00F96D2D" w:rsidRDefault="00F774CA" w:rsidP="00F774CA">
      <w:pPr>
        <w:spacing w:after="0" w:line="240" w:lineRule="auto"/>
        <w:ind w:left="720" w:hanging="720"/>
        <w:rPr>
          <w:rFonts w:ascii="Times New Roman" w:hAnsi="Times New Roman" w:cs="Times New Roman"/>
          <w:b w:val="0"/>
          <w:noProof/>
          <w:sz w:val="20"/>
          <w:szCs w:val="20"/>
        </w:rPr>
      </w:pPr>
      <w:bookmarkStart w:id="1" w:name="_ENREF_2"/>
      <w:r w:rsidRPr="00F96D2D">
        <w:rPr>
          <w:rFonts w:ascii="Times New Roman" w:hAnsi="Times New Roman" w:cs="Times New Roman"/>
          <w:b w:val="0"/>
          <w:noProof/>
          <w:sz w:val="20"/>
          <w:szCs w:val="20"/>
        </w:rPr>
        <w:t>Stukel, M.R., Décima, M., Landry, M.R. and Selph, K.E., 2018b. Nitrogen and isotope flows through the Costa Rica Dome upwelling ecosystem: The crucial mesozooplankton role in export flux. Global Biogeochemical Cycles, 32: 1815-1832.</w:t>
      </w:r>
      <w:bookmarkEnd w:id="1"/>
    </w:p>
    <w:p w:rsidR="00F774CA" w:rsidRPr="00F96D2D" w:rsidRDefault="00F774CA" w:rsidP="00F774CA">
      <w:pPr>
        <w:spacing w:after="0" w:line="240" w:lineRule="auto"/>
        <w:ind w:left="720" w:hanging="720"/>
        <w:rPr>
          <w:rFonts w:ascii="Times New Roman" w:hAnsi="Times New Roman" w:cs="Times New Roman"/>
          <w:b w:val="0"/>
          <w:noProof/>
          <w:sz w:val="20"/>
          <w:szCs w:val="20"/>
        </w:rPr>
      </w:pPr>
      <w:bookmarkStart w:id="2" w:name="_ENREF_3"/>
      <w:r w:rsidRPr="00F96D2D">
        <w:rPr>
          <w:rFonts w:ascii="Times New Roman" w:hAnsi="Times New Roman" w:cs="Times New Roman"/>
          <w:b w:val="0"/>
          <w:noProof/>
          <w:sz w:val="20"/>
          <w:szCs w:val="20"/>
        </w:rPr>
        <w:t>Stukel, M.R. et al., 2020. Plankton food webs of the Gulf of Mexico spawning grounds of Atlantic Bluefin tuna. bioRxiv: 2020.07.29.227116.</w:t>
      </w:r>
      <w:bookmarkEnd w:id="2"/>
    </w:p>
    <w:p w:rsidR="00F774CA" w:rsidRPr="00F96D2D" w:rsidRDefault="00F774CA" w:rsidP="00F774CA">
      <w:pPr>
        <w:spacing w:after="0" w:line="240" w:lineRule="auto"/>
        <w:ind w:left="720" w:hanging="720"/>
        <w:rPr>
          <w:rFonts w:ascii="Times New Roman" w:hAnsi="Times New Roman" w:cs="Times New Roman"/>
          <w:b w:val="0"/>
          <w:noProof/>
          <w:sz w:val="20"/>
          <w:szCs w:val="20"/>
        </w:rPr>
      </w:pPr>
      <w:bookmarkStart w:id="3" w:name="_ENREF_4"/>
      <w:r w:rsidRPr="00F96D2D">
        <w:rPr>
          <w:rFonts w:ascii="Times New Roman" w:hAnsi="Times New Roman" w:cs="Times New Roman"/>
          <w:b w:val="0"/>
          <w:noProof/>
          <w:sz w:val="20"/>
          <w:szCs w:val="20"/>
        </w:rPr>
        <w:t>Stukel, M.R. et al., 2021. Plankton food webs of the Gulf of Mexico spawning grounds of Atlantic Bluefin tuna. Journal of Plankton Research.</w:t>
      </w:r>
      <w:bookmarkEnd w:id="3"/>
    </w:p>
    <w:p w:rsidR="00F774CA" w:rsidRPr="00F96D2D" w:rsidRDefault="00F774CA" w:rsidP="00F774CA">
      <w:pPr>
        <w:spacing w:line="240" w:lineRule="auto"/>
        <w:ind w:left="720" w:hanging="720"/>
        <w:rPr>
          <w:rFonts w:ascii="Times New Roman" w:hAnsi="Times New Roman" w:cs="Times New Roman"/>
          <w:b w:val="0"/>
          <w:noProof/>
          <w:sz w:val="20"/>
          <w:szCs w:val="20"/>
        </w:rPr>
      </w:pPr>
      <w:bookmarkStart w:id="4" w:name="_ENREF_5"/>
      <w:r w:rsidRPr="00F96D2D">
        <w:rPr>
          <w:rFonts w:ascii="Times New Roman" w:hAnsi="Times New Roman" w:cs="Times New Roman"/>
          <w:b w:val="0"/>
          <w:noProof/>
          <w:sz w:val="20"/>
          <w:szCs w:val="20"/>
        </w:rPr>
        <w:t>Van den Meersche, K., Soetaert, K. and Van Oevelen, D., 2009. xSample(): An R function for sampling linear inverse problems. Journal of Statistal Software, Code Snippets, 30(1): 1-15.</w:t>
      </w:r>
      <w:bookmarkEnd w:id="4"/>
    </w:p>
    <w:p w:rsidR="00F465A2" w:rsidRPr="00F96D2D" w:rsidRDefault="00001248">
      <w:pPr>
        <w:rPr>
          <w:rFonts w:ascii="Times New Roman" w:hAnsi="Times New Roman" w:cs="Times New Roman"/>
          <w:b w:val="0"/>
          <w:sz w:val="20"/>
          <w:szCs w:val="20"/>
        </w:rPr>
      </w:pPr>
      <w:r w:rsidRPr="00F96D2D">
        <w:rPr>
          <w:rFonts w:ascii="Times New Roman" w:hAnsi="Times New Roman" w:cs="Times New Roman"/>
          <w:b w:val="0"/>
          <w:sz w:val="20"/>
          <w:szCs w:val="20"/>
        </w:rPr>
        <w:fldChar w:fldCharType="end"/>
      </w:r>
      <w:bookmarkStart w:id="5" w:name="_GoBack"/>
      <w:bookmarkEnd w:id="5"/>
    </w:p>
    <w:sectPr w:rsidR="00F465A2" w:rsidRPr="00F96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Marine 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df0vt00zdwazbete5tvsv00552aw0pz99af&quot;&gt;Stukel&lt;record-ids&gt;&lt;item&gt;542&lt;/item&gt;&lt;item&gt;4003&lt;/item&gt;&lt;item&gt;4216&lt;/item&gt;&lt;item&gt;4909&lt;/item&gt;&lt;item&gt;4912&lt;/item&gt;&lt;/record-ids&gt;&lt;/item&gt;&lt;/Libraries&gt;"/>
  </w:docVars>
  <w:rsids>
    <w:rsidRoot w:val="00001248"/>
    <w:rsid w:val="00001248"/>
    <w:rsid w:val="000A7CAA"/>
    <w:rsid w:val="004F4141"/>
    <w:rsid w:val="00DB6E02"/>
    <w:rsid w:val="00F465A2"/>
    <w:rsid w:val="00F774CA"/>
    <w:rsid w:val="00F9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CAA"/>
    <w:rPr>
      <w:rFonts w:asciiTheme="minorHAnsi" w:hAnsiTheme="minorHAnsi" w:cstheme="min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248"/>
    <w:rPr>
      <w:color w:val="0563C1" w:themeColor="hyperlink"/>
      <w:u w:val="single"/>
    </w:rPr>
  </w:style>
  <w:style w:type="paragraph" w:styleId="BalloonText">
    <w:name w:val="Balloon Text"/>
    <w:basedOn w:val="Normal"/>
    <w:link w:val="BalloonTextChar"/>
    <w:uiPriority w:val="99"/>
    <w:semiHidden/>
    <w:unhideWhenUsed/>
    <w:rsid w:val="00F77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4CA"/>
    <w:rPr>
      <w:rFonts w:ascii="Tahoma" w:hAnsi="Tahoma" w:cs="Tahoma"/>
      <w:b/>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CAA"/>
    <w:rPr>
      <w:rFonts w:asciiTheme="minorHAnsi" w:hAnsiTheme="minorHAnsi" w:cstheme="min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248"/>
    <w:rPr>
      <w:color w:val="0563C1" w:themeColor="hyperlink"/>
      <w:u w:val="single"/>
    </w:rPr>
  </w:style>
  <w:style w:type="paragraph" w:styleId="BalloonText">
    <w:name w:val="Balloon Text"/>
    <w:basedOn w:val="Normal"/>
    <w:link w:val="BalloonTextChar"/>
    <w:uiPriority w:val="99"/>
    <w:semiHidden/>
    <w:unhideWhenUsed/>
    <w:rsid w:val="00F77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4CA"/>
    <w:rPr>
      <w:rFonts w:ascii="Tahoma" w:hAnsi="Tahoma" w:cs="Tahoma"/>
      <w: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60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64BEF-46A7-4320-BE27-7A025919E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12414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Stukel</dc:creator>
  <cp:lastModifiedBy>Mike Stukel</cp:lastModifiedBy>
  <cp:revision>2</cp:revision>
  <dcterms:created xsi:type="dcterms:W3CDTF">2021-01-22T18:08:00Z</dcterms:created>
  <dcterms:modified xsi:type="dcterms:W3CDTF">2021-01-22T18:49:00Z</dcterms:modified>
</cp:coreProperties>
</file>