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AI-and-Society-Syllabus</w:t>
      </w:r>
    </w:p>
    <w:bookmarkStart w:id="22" w:name="ai-and-society-course-syllabus"/>
    <w:p>
      <w:pPr>
        <w:pStyle w:val="Heading1"/>
      </w:pPr>
      <w:r>
        <w:t xml:space="preserve">AI and Society: Course Syllabus</w:t>
      </w:r>
    </w:p>
    <w:bookmarkStart w:id="9" w:name="course-information"/>
    <w:p>
      <w:pPr>
        <w:pStyle w:val="Heading2"/>
      </w:pPr>
      <w:r>
        <w:t xml:space="preserve">Course Information</w:t>
      </w:r>
    </w:p>
    <w:p>
      <w:pPr>
        <w:pStyle w:val="FirstParagraph"/>
      </w:pPr>
      <w:r>
        <w:rPr>
          <w:b/>
          <w:bCs/>
        </w:rPr>
        <w:t xml:space="preserve">Course Title:</w:t>
      </w:r>
      <w:r>
        <w:t xml:space="preserve"> </w:t>
      </w:r>
      <w:r>
        <w:t xml:space="preserve">AI and Society</w:t>
      </w:r>
      <w:r>
        <w:br/>
      </w:r>
      <w:r>
        <w:rPr>
          <w:b/>
          <w:bCs/>
        </w:rPr>
        <w:t xml:space="preserve">Semester:</w:t>
      </w:r>
      <w:r>
        <w:t xml:space="preserve"> </w:t>
      </w:r>
      <w:r>
        <w:t xml:space="preserve">Spring 2026</w:t>
      </w:r>
      <w:r>
        <w:br/>
      </w:r>
      <w:r>
        <w:rPr>
          <w:b/>
          <w:bCs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Hybrid/HyFlex (online and in-person options)</w:t>
      </w:r>
    </w:p>
    <w:bookmarkEnd w:id="9"/>
    <w:bookmarkStart w:id="11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explores the multifaceted relationships between artificial intelligence and contemporary society. Students examine AI’s applications, limitations, and implications across ethics, policy, economics, employment, and social justice.</w:t>
      </w:r>
    </w:p>
    <w:bookmarkStart w:id="10" w:name="key-topics"/>
    <w:p>
      <w:pPr>
        <w:pStyle w:val="Heading3"/>
      </w:pPr>
      <w:r>
        <w:t xml:space="preserve">Key Topics</w:t>
      </w:r>
    </w:p>
    <w:p>
      <w:pPr>
        <w:pStyle w:val="Compact"/>
        <w:numPr>
          <w:ilvl w:val="0"/>
          <w:numId w:val="1001"/>
        </w:numPr>
      </w:pPr>
      <w:r>
        <w:t xml:space="preserve">Fundamentals of AI and machine learning</w:t>
      </w:r>
    </w:p>
    <w:p>
      <w:pPr>
        <w:pStyle w:val="Compact"/>
        <w:numPr>
          <w:ilvl w:val="0"/>
          <w:numId w:val="1001"/>
        </w:numPr>
      </w:pPr>
      <w:r>
        <w:t xml:space="preserve">Bias and fairness in AI systems</w:t>
      </w:r>
    </w:p>
    <w:p>
      <w:pPr>
        <w:pStyle w:val="Compact"/>
        <w:numPr>
          <w:ilvl w:val="0"/>
          <w:numId w:val="1001"/>
        </w:numPr>
      </w:pPr>
      <w:r>
        <w:t xml:space="preserve">Privacy, surveillance, and data ethics</w:t>
      </w:r>
    </w:p>
    <w:p>
      <w:pPr>
        <w:pStyle w:val="Compact"/>
        <w:numPr>
          <w:ilvl w:val="0"/>
          <w:numId w:val="1001"/>
        </w:numPr>
      </w:pPr>
      <w:r>
        <w:t xml:space="preserve">AI policy and governance</w:t>
      </w:r>
    </w:p>
    <w:p>
      <w:pPr>
        <w:pStyle w:val="Compact"/>
        <w:numPr>
          <w:ilvl w:val="0"/>
          <w:numId w:val="1001"/>
        </w:numPr>
      </w:pPr>
      <w:r>
        <w:t xml:space="preserve">Employment and economic impacts</w:t>
      </w:r>
    </w:p>
    <w:p>
      <w:pPr>
        <w:pStyle w:val="Compact"/>
        <w:numPr>
          <w:ilvl w:val="0"/>
          <w:numId w:val="1001"/>
        </w:numPr>
      </w:pPr>
      <w:r>
        <w:t xml:space="preserve">Autonomous systems and accountability</w:t>
      </w:r>
    </w:p>
    <w:bookmarkEnd w:id="10"/>
    <w:bookmarkEnd w:id="11"/>
    <w:bookmarkStart w:id="12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course, students will be able to:</w:t>
      </w:r>
    </w:p>
    <w:p>
      <w:pPr>
        <w:pStyle w:val="Compact"/>
        <w:numPr>
          <w:ilvl w:val="0"/>
          <w:numId w:val="1002"/>
        </w:numPr>
      </w:pPr>
      <w:r>
        <w:t xml:space="preserve">Explain foundational concepts in AI and machine learning</w:t>
      </w:r>
    </w:p>
    <w:p>
      <w:pPr>
        <w:pStyle w:val="Compact"/>
        <w:numPr>
          <w:ilvl w:val="0"/>
          <w:numId w:val="1002"/>
        </w:numPr>
      </w:pPr>
      <w:r>
        <w:t xml:space="preserve">Identify ethical issues and biases in AI systems</w:t>
      </w:r>
    </w:p>
    <w:p>
      <w:pPr>
        <w:pStyle w:val="Compact"/>
        <w:numPr>
          <w:ilvl w:val="0"/>
          <w:numId w:val="1002"/>
        </w:numPr>
      </w:pPr>
      <w:r>
        <w:t xml:space="preserve">Analyze policy implications of AI technology</w:t>
      </w:r>
    </w:p>
    <w:p>
      <w:pPr>
        <w:pStyle w:val="Compact"/>
        <w:numPr>
          <w:ilvl w:val="0"/>
          <w:numId w:val="1002"/>
        </w:numPr>
      </w:pPr>
      <w:r>
        <w:t xml:space="preserve">Evaluate the societal impacts of AI deployment</w:t>
      </w:r>
    </w:p>
    <w:p>
      <w:pPr>
        <w:pStyle w:val="Compact"/>
        <w:numPr>
          <w:ilvl w:val="0"/>
          <w:numId w:val="1002"/>
        </w:numPr>
      </w:pPr>
      <w:r>
        <w:t xml:space="preserve">Articulate informed perspectives on AI governance</w:t>
      </w:r>
    </w:p>
    <w:bookmarkEnd w:id="12"/>
    <w:bookmarkStart w:id="1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All required readings are available on this site. Some recommended resources link to external sites.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Web-based readings:</w:t>
      </w:r>
      <w:r>
        <w:t xml:space="preserve"> </w:t>
      </w:r>
      <w:r>
        <w:t xml:space="preserve">Available on this site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Downloadable formats:</w:t>
      </w:r>
      <w:r>
        <w:t xml:space="preserve"> </w:t>
      </w:r>
      <w:r>
        <w:t xml:space="preserve">PDF and Word versions available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D2L Integration:</w:t>
      </w:r>
      <w:r>
        <w:t xml:space="preserve"> </w:t>
      </w:r>
      <w:r>
        <w:t xml:space="preserve">Links to all materials in Brightspace</w:t>
      </w:r>
    </w:p>
    <w:bookmarkEnd w:id="13"/>
    <w:bookmarkStart w:id="14" w:name="grading"/>
    <w:p>
      <w:pPr>
        <w:pStyle w:val="Heading2"/>
      </w:pPr>
      <w:r>
        <w:t xml:space="preserve">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Reflections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Midterm Assignment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Project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bookmarkEnd w:id="14"/>
    <w:bookmarkStart w:id="15" w:name="accessibility"/>
    <w:p>
      <w:pPr>
        <w:pStyle w:val="Heading2"/>
      </w:pPr>
      <w:r>
        <w:t xml:space="preserve">Accessibility</w:t>
      </w:r>
    </w:p>
    <w:p>
      <w:pPr>
        <w:pStyle w:val="FirstParagraph"/>
      </w:pPr>
      <w:r>
        <w:t xml:space="preserve">This course is designed according to Universal Design for Learning (UDL) principles. All materials are available in multiple formats to meet diverse learning needs:</w:t>
      </w:r>
    </w:p>
    <w:p>
      <w:pPr>
        <w:pStyle w:val="Compact"/>
        <w:numPr>
          <w:ilvl w:val="0"/>
          <w:numId w:val="1004"/>
        </w:numPr>
      </w:pPr>
      <w:r>
        <w:t xml:space="preserve">Web pages with accessible formatting</w:t>
      </w:r>
    </w:p>
    <w:p>
      <w:pPr>
        <w:pStyle w:val="Compact"/>
        <w:numPr>
          <w:ilvl w:val="0"/>
          <w:numId w:val="1004"/>
        </w:numPr>
      </w:pPr>
      <w:r>
        <w:t xml:space="preserve">PDF documents with proper tagging</w:t>
      </w:r>
    </w:p>
    <w:p>
      <w:pPr>
        <w:pStyle w:val="Compact"/>
        <w:numPr>
          <w:ilvl w:val="0"/>
          <w:numId w:val="1004"/>
        </w:numPr>
      </w:pPr>
      <w:r>
        <w:t xml:space="preserve">Word documents with semantic structure</w:t>
      </w:r>
    </w:p>
    <w:p>
      <w:pPr>
        <w:pStyle w:val="Compact"/>
        <w:numPr>
          <w:ilvl w:val="0"/>
          <w:numId w:val="1004"/>
        </w:numPr>
      </w:pPr>
      <w:r>
        <w:t xml:space="preserve">Captions on video content</w:t>
      </w:r>
    </w:p>
    <w:p>
      <w:pPr>
        <w:pStyle w:val="Compact"/>
        <w:numPr>
          <w:ilvl w:val="0"/>
          <w:numId w:val="1004"/>
        </w:numPr>
      </w:pPr>
      <w:r>
        <w:t xml:space="preserve">Alternative text for images</w:t>
      </w:r>
    </w:p>
    <w:p>
      <w:pPr>
        <w:pStyle w:val="FirstParagraph"/>
      </w:pPr>
      <w:r>
        <w:t xml:space="preserve">If you require specific accommodations, please contact the Disability Services office or your instructor.</w:t>
      </w:r>
    </w:p>
    <w:bookmarkEnd w:id="15"/>
    <w:bookmarkStart w:id="20" w:name="course-policies"/>
    <w:p>
      <w:pPr>
        <w:pStyle w:val="Heading2"/>
      </w:pPr>
      <w:r>
        <w:t xml:space="preserve">Course Policies</w:t>
      </w:r>
    </w:p>
    <w:bookmarkStart w:id="16" w:name="participation"/>
    <w:p>
      <w:pPr>
        <w:pStyle w:val="Heading3"/>
      </w:pPr>
      <w:r>
        <w:t xml:space="preserve">Participation</w:t>
      </w:r>
    </w:p>
    <w:p>
      <w:pPr>
        <w:pStyle w:val="FirstParagraph"/>
      </w:pPr>
      <w:r>
        <w:t xml:space="preserve">Participation includes:</w:t>
      </w:r>
      <w:r>
        <w:t xml:space="preserve"> </w:t>
      </w:r>
      <w:r>
        <w:t xml:space="preserve">- Attendance and engagement in discussions</w:t>
      </w:r>
      <w:r>
        <w:t xml:space="preserve"> </w:t>
      </w:r>
      <w:r>
        <w:t xml:space="preserve">- Contribution to online forums</w:t>
      </w:r>
      <w:r>
        <w:t xml:space="preserve"> </w:t>
      </w:r>
      <w:r>
        <w:t xml:space="preserve">- Active reading and reflection</w:t>
      </w:r>
    </w:p>
    <w:bookmarkEnd w:id="16"/>
    <w:bookmarkStart w:id="17" w:name="late-work"/>
    <w:p>
      <w:pPr>
        <w:pStyle w:val="Heading3"/>
      </w:pPr>
      <w:r>
        <w:t xml:space="preserve">Late Work</w:t>
      </w:r>
    </w:p>
    <w:p>
      <w:pPr>
        <w:pStyle w:val="FirstParagraph"/>
      </w:pPr>
      <w:r>
        <w:t xml:space="preserve">Late submissions will be accepted up to 3 days after the deadline with a 10% grade reduction.</w:t>
      </w:r>
    </w:p>
    <w:bookmarkEnd w:id="17"/>
    <w:bookmarkStart w:id="18" w:name="academic-integrity"/>
    <w:p>
      <w:pPr>
        <w:pStyle w:val="Heading3"/>
      </w:pPr>
      <w:r>
        <w:t xml:space="preserve">Academic Integrity</w:t>
      </w:r>
    </w:p>
    <w:p>
      <w:pPr>
        <w:pStyle w:val="FirstParagraph"/>
      </w:pPr>
      <w:r>
        <w:t xml:space="preserve">All work must be original. Proper citation is required for all sources using standard citation format.</w:t>
      </w:r>
    </w:p>
    <w:bookmarkEnd w:id="18"/>
    <w:bookmarkStart w:id="19" w:name="classroom-respect"/>
    <w:p>
      <w:pPr>
        <w:pStyle w:val="Heading3"/>
      </w:pPr>
      <w:r>
        <w:t xml:space="preserve">Classroom Respect</w:t>
      </w:r>
    </w:p>
    <w:p>
      <w:pPr>
        <w:pStyle w:val="FirstParagraph"/>
      </w:pPr>
      <w:r>
        <w:t xml:space="preserve">This course addresses potentially sensitive topics. Respect for diverse perspectives is required.</w:t>
      </w:r>
    </w:p>
    <w:bookmarkEnd w:id="19"/>
    <w:bookmarkEnd w:id="20"/>
    <w:bookmarkStart w:id="21" w:name="contact-support"/>
    <w:p>
      <w:pPr>
        <w:pStyle w:val="Heading2"/>
      </w:pPr>
      <w:r>
        <w:t xml:space="preserve">Contact &amp; Support</w:t>
      </w:r>
    </w:p>
    <w:p>
      <w:pPr>
        <w:pStyle w:val="FirstParagraph"/>
      </w:pPr>
      <w:r>
        <w:rPr>
          <w:b/>
          <w:bCs/>
        </w:rPr>
        <w:t xml:space="preserve">Instructor: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[your.email@institution.edu]</w:t>
      </w:r>
      <w:r>
        <w:br/>
      </w:r>
      <w:r>
        <w:rPr>
          <w:b/>
          <w:bCs/>
        </w:rPr>
        <w:t xml:space="preserve">Office Hours:</w:t>
      </w:r>
      <w:r>
        <w:t xml:space="preserve"> </w:t>
      </w:r>
      <w:r>
        <w:t xml:space="preserve">[Times]</w:t>
      </w:r>
      <w:r>
        <w:br/>
      </w:r>
      <w:r>
        <w:rPr>
          <w:b/>
          <w:bCs/>
        </w:rPr>
        <w:t xml:space="preserve">Location/Zoom:</w:t>
      </w:r>
      <w:r>
        <w:t xml:space="preserve"> </w:t>
      </w:r>
      <w:r>
        <w:t xml:space="preserve">[Details]</w:t>
      </w:r>
    </w:p>
    <w:p>
      <w:pPr>
        <w:pStyle w:val="BodyText"/>
      </w:pPr>
      <w:r>
        <w:t xml:space="preserve">For technical issues with the course website or D2L, contact IT Support.</w:t>
      </w:r>
    </w:p>
    <w:p>
      <w:pPr>
        <w:pStyle w:val="BodyText"/>
      </w:pPr>
      <w:r>
        <w:t xml:space="preserve">For disability accommodations, contact the Disability Services office.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AI-and-Society-Syllabus</dc:title>
  <dc:creator/>
  <cp:keywords/>
  <dcterms:created xsi:type="dcterms:W3CDTF">2026-05-05T15:13:08Z</dcterms:created>
  <dcterms:modified xsi:type="dcterms:W3CDTF">2026-05-05T15:13:08Z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ight">
    <vt:lpwstr>1</vt:lpwstr>
  </property>
</Properties>
</file>