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DEFAULT CONSTRUCTOR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>1. Is always no-arg constructor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>2. The access modifier of default constuctor is exactly same as class(This rule is applicable for public and default)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  <w:t>3. It contains only one line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ab/>
        <w:tab/>
        <w:t>super();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Is a no argument call to super class constructor.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Programmer’s code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Compiler Generate Code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Class Test{}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class </w:t>
            </w:r>
            <w:r>
              <w:rPr>
                <w:rFonts w:ascii="DejaVu Sans Mono" w:hAnsi="DejaVu Sans Mono"/>
                <w:color w:val="000000"/>
                <w:sz w:val="23"/>
              </w:rPr>
              <w:t>Base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Base(){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>super</w:t>
            </w:r>
            <w:r>
              <w:rPr>
                <w:rFonts w:ascii="DejaVu Sans Mono" w:hAnsi="DejaVu Sans Mono"/>
                <w:color w:val="000000"/>
                <w:sz w:val="23"/>
              </w:rPr>
              <w:t>(); }</w:t>
            </w:r>
          </w:p>
          <w:p>
            <w:pPr>
              <w:pStyle w:val="PreformattedText"/>
              <w:shd w:val="clear" w:fill="FFFFFF"/>
              <w:spacing w:before="0" w:after="160"/>
              <w:rPr/>
            </w:pPr>
            <w:r>
              <w:rPr>
                <w:rFonts w:ascii="DejaVu Sans Mono" w:hAnsi="DejaVu Sans Mono"/>
                <w:color w:val="000000"/>
                <w:sz w:val="23"/>
              </w:rPr>
              <w:t>}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Public class Test {}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Public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class </w:t>
            </w:r>
            <w:r>
              <w:rPr>
                <w:rFonts w:ascii="DejaVu Sans Mono" w:hAnsi="DejaVu Sans Mono"/>
                <w:color w:val="000000"/>
                <w:sz w:val="23"/>
              </w:rPr>
              <w:t>Base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Base(){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>super</w:t>
            </w:r>
            <w:r>
              <w:rPr>
                <w:rFonts w:ascii="DejaVu Sans Mono" w:hAnsi="DejaVu Sans Mono"/>
                <w:color w:val="000000"/>
                <w:sz w:val="23"/>
              </w:rPr>
              <w:t>(); }</w:t>
            </w:r>
          </w:p>
          <w:p>
            <w:pPr>
              <w:pStyle w:val="PreformattedText"/>
              <w:shd w:val="clear" w:fill="FFFFFF"/>
              <w:spacing w:before="0" w:after="160"/>
              <w:rPr/>
            </w:pPr>
            <w:r>
              <w:rPr>
                <w:rFonts w:ascii="DejaVu Sans Mono" w:hAnsi="DejaVu Sans Mono"/>
                <w:color w:val="000000"/>
                <w:sz w:val="23"/>
              </w:rPr>
              <w:t>}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Public class Test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void Test() {}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DejaVu Sans Mono" w:hAnsi="DejaVu Sans Mono"/>
                <w:color w:val="000000"/>
                <w:sz w:val="23"/>
              </w:rPr>
            </w:pP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Public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 xml:space="preserve">class </w:t>
            </w:r>
            <w:r>
              <w:rPr>
                <w:rFonts w:ascii="DejaVu Sans Mono" w:hAnsi="DejaVu Sans Mono"/>
                <w:color w:val="000000"/>
                <w:sz w:val="23"/>
              </w:rPr>
              <w:t>Base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23"/>
              </w:rPr>
              <w:t xml:space="preserve">Base(){ </w:t>
            </w:r>
            <w:r>
              <w:rPr>
                <w:rFonts w:ascii="DejaVu Sans Mono" w:hAnsi="DejaVu Sans Mono"/>
                <w:b/>
                <w:color w:val="000080"/>
                <w:sz w:val="23"/>
              </w:rPr>
              <w:t>super</w:t>
            </w:r>
            <w:r>
              <w:rPr>
                <w:rFonts w:ascii="DejaVu Sans Mono" w:hAnsi="DejaVu Sans Mono"/>
                <w:color w:val="000000"/>
                <w:sz w:val="23"/>
              </w:rPr>
              <w:t>(); }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23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23"/>
              </w:rPr>
              <w:t>void Test() {}</w:t>
            </w:r>
          </w:p>
          <w:p>
            <w:pPr>
              <w:pStyle w:val="PreformattedText"/>
              <w:shd w:val="clear" w:fill="FFFFFF"/>
              <w:spacing w:before="0" w:after="160"/>
              <w:rPr/>
            </w:pPr>
            <w:r>
              <w:rPr>
                <w:rFonts w:ascii="DejaVu Sans Mono" w:hAnsi="DejaVu Sans Mono"/>
                <w:color w:val="000000"/>
                <w:sz w:val="23"/>
              </w:rPr>
              <w:t>}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Test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Test() {}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Test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Test()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super();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Test{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Test(int i) {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super();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Test{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Test(int i) {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super();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}//same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Test{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Test(int i) {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this(10);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Test(int i){}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Test{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Test(int i) {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this(10);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Test(int i){ super();}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>Case 1: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1. Call to the </w:t>
      </w:r>
      <w:r>
        <w:rPr>
          <w:b/>
          <w:bCs/>
          <w:i w:val="false"/>
          <w:iCs w:val="false"/>
          <w:u w:val="none"/>
        </w:rPr>
        <w:t>super or this</w:t>
      </w:r>
      <w:r>
        <w:rPr>
          <w:b w:val="false"/>
          <w:bCs w:val="false"/>
          <w:i w:val="false"/>
          <w:iCs w:val="false"/>
          <w:u w:val="none"/>
        </w:rPr>
        <w:t xml:space="preserve"> should on the first line of the constructor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2. We can take </w:t>
      </w:r>
      <w:r>
        <w:rPr>
          <w:b/>
          <w:bCs/>
          <w:i w:val="false"/>
          <w:iCs w:val="false"/>
          <w:u w:val="none"/>
        </w:rPr>
        <w:t>either super or this but not both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 xml:space="preserve">3. We can use </w:t>
      </w:r>
      <w:r>
        <w:rPr>
          <w:b/>
          <w:bCs/>
          <w:i w:val="false"/>
          <w:iCs w:val="false"/>
          <w:u w:val="none"/>
        </w:rPr>
        <w:t>super or this</w:t>
      </w:r>
      <w:r>
        <w:rPr>
          <w:b w:val="false"/>
          <w:bCs w:val="false"/>
          <w:i w:val="false"/>
          <w:iCs w:val="false"/>
          <w:u w:val="none"/>
        </w:rPr>
        <w:t xml:space="preserve"> only inside constructor, if we trying to use outside of constructor we will get compile-time error.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Super(), this()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Super, this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These are constructor calls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These are keywords to refer super and current class instance members.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Only inside constructor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Everywhere expect static area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 can use only once in constructor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 can use any number of times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Application>LibreOffice/5.1.6.2$Linux_X86_64 LibreOffice_project/10m0$Build-2</Application>
  <Pages>2</Pages>
  <Words>231</Words>
  <Characters>1050</Characters>
  <CharactersWithSpaces>1315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2017-06-10T10:48:53Z</dcterms:modified>
  <cp:revision>578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