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Documentación Técnica Detallada</w:t>
      </w:r>
    </w:p>
    <w:p>
      <w:pPr>
        <w:spacing w:after="20"/>
      </w:pPr>
      <w:r>
        <w:rPr>
          <w:sz w:val="24"/>
          <w:szCs w:val="24"/>
        </w:rPr>
        <w:t xml:space="preserve">Clasificación de Frescura de Pescado — Generalización Cross-Dataset (Trucha, Rohu)</w:t>
      </w:r>
    </w:p>
    <w:p>
      <w:pPr>
        <w:spacing w:after="20"/>
      </w:pPr>
      <w:r>
        <w:rPr>
          <w:i/>
          <w:iCs/>
          <w:sz w:val="20"/>
          <w:szCs w:val="20"/>
        </w:rPr>
        <w:t xml:space="preserve">Congelado (linear probe) — ViT-Base/16 y DenseNet-121, 5-fold, sin augmentación x2</w:t>
      </w:r>
    </w:p>
    <w:p>
      <w:pPr>
        <w:spacing w:after="260"/>
      </w:pPr>
      <w:r>
        <w:rPr>
          <w:i/>
          <w:iCs/>
          <w:color w:val="666666"/>
          <w:sz w:val="18"/>
          <w:szCs w:val="18"/>
        </w:rPr>
        <w:t xml:space="preserve">Cálculos por fold y pooled — con fórmulas, gráficas y datos trazables a los archivos fuente</w:t>
      </w:r>
    </w:p>
    <w:p>
      <w:pPr>
        <w:pStyle w:val="Heading1"/>
        <w:spacing w:after="120" w:before="240"/>
      </w:pPr>
      <w:r>
        <w:t xml:space="preserve">1. Metodología</w:t>
      </w:r>
    </w:p>
    <w:p>
      <w:pPr>
        <w:pStyle w:val="Heading2"/>
        <w:spacing w:after="90" w:before="180"/>
      </w:pPr>
      <w:r>
        <w:t xml:space="preserve">1.1 Qué es "congelado" (linear probe)</w:t>
      </w:r>
    </w:p>
    <w:p>
      <w:pPr>
        <w:spacing w:after="100"/>
      </w:pPr>
      <w:r>
        <w:t xml:space="preserve">Se parte del checkpoint ya entrenado sobre Mendeley (dominio fuente, 8,000 imágenes, 10 modelos evaluados en Documentacion_Tecnica_10_Modelos.docx). El backbone se congela (pesos fijos, sin gradiente) y solo se entrena la cabeza de clasificación sobre el dominio objetivo (Trucha o Rohu). Es entrenamiento real (hay backpropagation y actualización de pesos en la cabeza), no una evaluación zero-shot — la diferencia con fine-tuning completo es que el backbone no se actualiza.</w:t>
      </w:r>
    </w:p>
    <w:p>
      <w:pPr>
        <w:pStyle w:val="Heading2"/>
        <w:spacing w:after="90" w:before="180"/>
      </w:pPr>
      <w:r>
        <w:t xml:space="preserve">1.2 Datasets evaluados</w:t>
      </w:r>
    </w:p>
    <w:p>
      <w:pPr>
        <w:spacing w:after="100"/>
      </w:pPr>
      <w:r>
        <w:t xml:space="preserve">Trucha: 1,150 imágenes (OneDrive), dominio objetivo original del proyecto.</w:t>
      </w:r>
    </w:p>
    <w:p>
      <w:pPr>
        <w:spacing w:after="100"/>
      </w:pPr>
      <w:r>
        <w:t xml:space="preserve">Rohu: 1,261 imágenes, dominio objetivo evaluado bajo el mismo protocolo que Trucha, con el mismo pipeline de entrenamiento.</w:t>
      </w:r>
    </w:p>
    <w:p>
      <w:pPr>
        <w:pStyle w:val="Heading2"/>
        <w:spacing w:after="90" w:before="180"/>
      </w:pPr>
      <w:r>
        <w:t xml:space="preserve">1.3 Entrenamiento y selección del mejor epoch</w:t>
      </w:r>
    </w:p>
    <w:p>
      <w:pPr>
        <w:spacing w:after="100"/>
      </w:pPr>
      <w:r>
        <w:t xml:space="preserve">5-fold estratificado por clase (fresco/no_fresco). Por cada fold: hasta 30 épocas, early stopping con paciencia=8 épocas sin mejora en val_F1. Se recarga el checkpoint del mejor val_F1 (no el peso del último epoch) y se evalúa una sola vez contra la partición de validación de ese fold.</w:t>
      </w:r>
    </w:p>
    <w:p>
      <w:pPr>
        <w:pStyle w:val="Heading2"/>
        <w:spacing w:after="90" w:before="180"/>
      </w:pPr>
      <w:r>
        <w:t xml:space="preserve">1.4 Augmentación: sin x2</w:t>
      </w:r>
    </w:p>
    <w:p>
      <w:pPr>
        <w:spacing w:after="100"/>
      </w:pPr>
      <w:r>
        <w:t xml:space="preserve">Sin x2: cada imagen de entrenamiento aparece una sola vez por época (una vista), con la augmentación estocástica estándar (recorte/flip/color/blur/rotación/erasing). La validación nunca se aumenta.</w:t>
      </w:r>
    </w:p>
    <w:p>
      <w:pPr>
        <w:pStyle w:val="Heading2"/>
        <w:spacing w:after="90" w:before="180"/>
      </w:pPr>
      <w:r>
        <w:t xml:space="preserve">1.5 Resultado pooled — cómo se calcula</w:t>
      </w:r>
    </w:p>
    <w:p>
      <w:pPr>
        <w:spacing w:after="100"/>
      </w:pPr>
      <w:r>
        <w:t xml:space="preserve">Las predicciones de validación de los 5 folds se concatenan (una imagen evaluada una sola vez, en el fold donde fue validación) y se calcula la matriz de confusión y las métricas UNA sola vez sobre el conjunto unido:</w:t>
      </w:r>
    </w:p>
    <w:p>
      <w:pPr>
        <w:spacing w:after="100"/>
      </w:pPr>
      <w:r>
        <w:rPr>
          <w:i/>
          <w:iCs/>
        </w:rPr>
        <w:t xml:space="preserve">Matriz_pooled = Matriz_fold1 + Matriz_fold2 + Matriz_fold3 + Matriz_fold4 + Matriz_fold5</w:t>
      </w:r>
    </w:p>
    <w:p>
      <w:pPr>
        <w:pStyle w:val="Heading1"/>
        <w:spacing w:after="120" w:before="240"/>
      </w:pPr>
      <w:r>
        <w:t xml:space="preserve">2. Glosario de fórmulas</w:t>
      </w:r>
    </w:p>
    <w:p>
      <w:pPr>
        <w:pStyle w:val="Heading2"/>
        <w:spacing w:after="90" w:before="180"/>
      </w:pPr>
      <w:r>
        <w:t xml:space="preserve">2.1 Matriz de confusión (clase "fresco" como positiva)</w:t>
      </w:r>
    </w:p>
    <w:p>
      <w:pPr>
        <w:spacing w:after="100"/>
      </w:pPr>
      <w:r>
        <w:t xml:space="preserve">TP = fresco→fresco (acierto)   FN = fresco→no_fresco (error)   FP = no_fresco→fresco (error)   TN = no_fresco→no_fresco (acierto)</w:t>
      </w:r>
    </w:p>
    <w:p>
      <w:pPr>
        <w:pStyle w:val="Heading2"/>
        <w:spacing w:after="90" w:before="180"/>
      </w:pPr>
      <w:r>
        <w:t xml:space="preserve">2.2 Métricas de desempeño (por fold y pooled)</w:t>
      </w:r>
    </w:p>
    <w:p>
      <w:pPr>
        <w:spacing w:after="100"/>
      </w:pPr>
      <w:r>
        <w:t xml:space="preserve">Precisión = TP / (TP+FP) × 100     Recall = TP / (TP+FN) × 100</w:t>
      </w:r>
    </w:p>
    <w:p>
      <w:pPr>
        <w:spacing w:after="100"/>
      </w:pPr>
      <w:r>
        <w:t xml:space="preserve">F1 = 2 × Precisión × Recall / (Precisión + Recall)</w:t>
      </w:r>
    </w:p>
    <w:p>
      <w:pPr>
        <w:spacing w:after="100"/>
      </w:pPr>
      <w:r>
        <w:t xml:space="preserve">F1 macro = (F1_fresco + F1_no_fresco) / 2 — se calcula F1 tomando cada clase como positiva por turno, y se promedian. Es la métrica "F1" usada en TODAS las tablas de este documento.</w:t>
      </w:r>
    </w:p>
    <w:p>
      <w:pPr>
        <w:spacing w:after="100"/>
      </w:pPr>
      <w:r>
        <w:t xml:space="preserve">Accuracy = (TP+TN) / N × 100</w:t>
      </w:r>
    </w:p>
    <w:p>
      <w:pPr>
        <w:pStyle w:val="Heading2"/>
        <w:spacing w:after="90" w:before="180"/>
      </w:pPr>
      <w:r>
        <w:t xml:space="preserve">2.3 AUC y curva ROC</w:t>
      </w:r>
    </w:p>
    <w:p>
      <w:pPr>
        <w:spacing w:after="100"/>
      </w:pPr>
      <w:r>
        <w:t xml:space="preserve">El Accuracy usa un solo corte de decisión (softmax &gt; 50%). El AUC evalúa la calidad de la probabilidad en todos los cortes posibles — un modelo puede tener AUC alto y Accuracy más bajo si su corte óptimo no es exactamente 50%.</w:t>
      </w:r>
    </w:p>
    <w:p>
      <w:pPr>
        <w:pStyle w:val="Heading2"/>
        <w:spacing w:after="90" w:before="180"/>
      </w:pPr>
      <w:r>
        <w:t xml:space="preserve">2.4 Indicadores de robustez ante cambio de dominio (TRD, Brecha, RBE)</w:t>
      </w:r>
    </w:p>
    <w:p>
      <w:pPr>
        <w:spacing w:after="100"/>
      </w:pPr>
      <w:r>
        <w:t xml:space="preserve">Indicadores del plan de tesis (Dimensión 2 — Robustez ante el Cambio de Dominio):</w:t>
      </w:r>
    </w:p>
    <w:p>
      <w:pPr>
        <w:spacing w:after="100"/>
      </w:pPr>
      <w:r>
        <w:rPr>
          <w:b/>
          <w:bCs/>
        </w:rPr>
        <w:t xml:space="preserve">Tasa de Retención del Desempeño:  TRD = (F1_objetivo / F1_fuente) × 100</w:t>
      </w:r>
    </w:p>
    <w:p>
      <w:pPr>
        <w:spacing w:after="100"/>
      </w:pPr>
      <w:r>
        <w:t xml:space="preserve">Porcentaje del desempeño de Mendeley (dominio fuente) que el modelo conserva al evaluarse en el dominio objetivo. 100% = sin caída de desempeño.</w:t>
      </w:r>
    </w:p>
    <w:p>
      <w:pPr>
        <w:spacing w:after="100"/>
      </w:pPr>
      <w:r>
        <w:rPr>
          <w:b/>
          <w:bCs/>
        </w:rPr>
        <w:t xml:space="preserve">Brecha de Error:  Error = 1 − F1/100     Gap = Error_objetivo − Error_fuente</w:t>
      </w:r>
    </w:p>
    <w:p>
      <w:pPr>
        <w:spacing w:after="100"/>
      </w:pPr>
      <w:r>
        <w:t xml:space="preserve">Cuánto aumenta el error del modelo al pasar del dominio fuente al objetivo.</w:t>
      </w:r>
    </w:p>
    <w:p>
      <w:pPr>
        <w:spacing w:after="100"/>
      </w:pPr>
      <w:r>
        <w:rPr>
          <w:b/>
          <w:bCs/>
        </w:rPr>
        <w:t xml:space="preserve">Reducción de Brecha de Error, respecto a DenseNet-121 (baseline CNN):  RBE = (Gap_baseline − Gap_modelo) / Gap_baseline × 100</w:t>
      </w:r>
    </w:p>
    <w:p>
      <w:pPr>
        <w:spacing w:after="100"/>
      </w:pPr>
      <w:r>
        <w:t xml:space="preserve">Mide cuánto reduce cada modelo la brecha de error frente al baseline. RBE &gt; 0 = mejor transferencia que el baseline; RBE &lt; 0 = peor. Para el propio baseline, Gap_baseline = Gap_modelo, por lo que RBE = 0.0 exacto — es una tautología (comparación contra sí mismo), no una medición independiente; se muestra igual para no dejar la celda vacía.</w:t>
      </w:r>
    </w:p>
    <w:p>
      <w:pPr>
        <w:pStyle w:val="Heading1"/>
        <w:spacing w:after="120" w:before="240"/>
      </w:pPr>
      <w:r>
        <w:t xml:space="preserve">3. Resultado comparativo — 2 modelos × 2 dominios (sin augmentación x2)</w:t>
      </w:r>
    </w:p>
    <w:p>
      <w:pPr>
        <w:pStyle w:val="Heading2"/>
        <w:spacing w:after="90" w:before="180"/>
      </w:pPr>
      <w:r>
        <w:t xml:space="preserve">3.1 F1, Accuracy y AUC pooled — Sin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400"/>
        <w:gridCol w:w="2400"/>
        <w:gridCol w:w="1800"/>
      </w:tblGrid>
      <w:tr>
        <w:trPr>
          <w:tblHeader/>
        </w:trPr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macro (pooled)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 (pooled)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 (pooled)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86.18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0.9197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80.80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0.8973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87.67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0.9514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83.01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85.57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0.9140</w:t>
            </w:r>
          </w:p>
        </w:tc>
      </w:tr>
    </w:tbl>
    <w:p>
      <w:pPr>
        <w:spacing w:after="100"/>
      </w:pPr>
      <w:r>
        <w:t xml:space="preserve">Nota: los valores pooled provienen de la corrida de matrices de confusión y ROC (linear_probe_confmat_roc.py, misma configuración, reentrenada), por eso difieren levemente del F1 oficial. F1 macro oficial (media de 5 folds, 3_resultados/): ViT-Base/16 — Trucha 86.11, Rohu 88.17; DenseNet-121 — Trucha 80.88, Rohu 82.85.</w:t>
      </w:r>
    </w:p>
    <w:p>
      <w:pPr>
        <w:pStyle w:val="Heading2"/>
        <w:spacing w:after="90" w:before="180"/>
      </w:pPr>
      <w:r>
        <w:t xml:space="preserve">3.2 Indicadores de robustez — Sin augmentación x2 (fórmulas en 2.4; calculados con el F1 oficial, media de 5 folds)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2000"/>
        <w:gridCol w:w="1800"/>
        <w:gridCol w:w="34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26.59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84.55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0.1478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31.38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0.1281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90" w:before="180"/>
      </w:pPr>
      <w:r>
        <w:t xml:space="preserve">3.3 Lectura</w:t>
      </w:r>
    </w:p>
    <w:p>
      <w:pPr>
        <w:spacing w:after="100"/>
      </w:pPr>
      <w:r>
        <w:t xml:space="preserve">ViT-Base/16 rinde por encima de DenseNet-121 en los dos dominios, consistente con su desempeño en Mendeley (96.96 vs. 95.66).</w:t>
      </w:r>
    </w:p>
    <w:p>
      <w:pPr>
        <w:spacing w:after="100"/>
      </w:pPr>
      <w:r>
        <w:t xml:space="preserve">Rohu rinde por encima de Trucha en los 2 modelos.</w:t>
      </w:r>
    </w:p>
    <w:p>
      <w:pPr>
        <w:spacing w:after="100"/>
      </w:pPr>
      <w:r>
        <w:t xml:space="preserve">ViT-Base/16 retiene más desempeño que DenseNet-121 en ambos dominios (TRD más alto, Gap más chico) y su RBE es positivo — transfiere mejor que el baseline CNN. La ventaja de ViT es mayor en Rohu (RBE 31.38%) que en Trucha (RBE 26.59%).</w:t>
      </w:r>
    </w:p>
    <w:p>
      <w:pPr>
        <w:pStyle w:val="Heading1"/>
        <w:spacing w:after="120" w:before="240"/>
      </w:pPr>
      <w:r>
        <w:t xml:space="preserve">4. Detalle por modelo</w:t>
      </w:r>
    </w:p>
    <w:p>
      <w:pPr>
        <w:pStyle w:val="Heading2"/>
        <w:spacing w:after="90" w:before="180"/>
      </w:pPr>
      <w:r>
        <w:t xml:space="preserve">4.1. ViT-Base/16</w:t>
      </w:r>
    </w:p>
    <w:p>
      <w:pPr>
        <w:pStyle w:val="Heading3"/>
        <w:spacing w:after="70" w:before="140"/>
      </w:pPr>
      <w:r>
        <w:t xml:space="preserve">4.1.1 Trucha</w:t>
      </w:r>
    </w:p>
    <w:p>
      <w:pPr>
        <w:pStyle w:val="Heading4"/>
        <w:spacing w:after="60" w:before="120"/>
      </w:pPr>
      <w:r>
        <w:t xml:space="preserve">Sin augmentación x2 — F1 macro = 86.18   Accuracy = 86.87   AUC = 0.9197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0.9095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0.9225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0.9585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83.12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0.8961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83.71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0.9334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(TP=371, FP=41, FN=110, TN=628, N=1150):</w:t>
      </w:r>
    </w:p>
    <w:p>
      <w:pPr>
        <w:spacing w:after="100"/>
      </w:pPr>
      <w:r>
        <w:t xml:space="preserve">F1_fresco = 2×90.05×77.13/(90.05+77.13) = 83.09</w:t>
      </w:r>
    </w:p>
    <w:p>
      <w:pPr>
        <w:spacing w:after="100"/>
      </w:pPr>
      <w:r>
        <w:t xml:space="preserve">F1_no_fresco = 2×85.09×93.87/(85.09+93.87) = 89.27</w:t>
      </w:r>
    </w:p>
    <w:p>
      <w:pPr>
        <w:spacing w:after="100"/>
      </w:pPr>
      <w:r>
        <w:t xml:space="preserve">F1 macro = (83.09+89.27)/2 = 86.18   (valor guardado: 86.18)</w:t>
      </w:r>
    </w:p>
    <w:p>
      <w:pPr>
        <w:spacing w:after="100"/>
      </w:pPr>
      <w:r>
        <w:t xml:space="preserve">Accuracy = (371+628) / 1150 × 100 = 86.87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Trucha, sin augmentación x2 — matriz de confusión pooled (izq.) y curva ROC pooled (der.), AUC = 0.9197.</w:t>
      </w:r>
    </w:p>
    <w:p>
      <w:pPr>
        <w:pStyle w:val="Heading3"/>
        <w:spacing w:after="70" w:before="140"/>
      </w:pPr>
      <w:r>
        <w:t xml:space="preserve">4.1.2 Rohu</w:t>
      </w:r>
    </w:p>
    <w:p>
      <w:pPr>
        <w:pStyle w:val="Heading4"/>
        <w:spacing w:after="60" w:before="120"/>
      </w:pPr>
      <w:r>
        <w:t xml:space="preserve">Sin augmentación x2 — F1 macro = 87.67   Accuracy = 89.45   AUC = 0.9514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84.23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0.9414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92.05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0.9655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86.25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0.9451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(TP=324, FP=35, FN=98, TN=804, N=1261):</w:t>
      </w:r>
    </w:p>
    <w:p>
      <w:pPr>
        <w:spacing w:after="100"/>
      </w:pPr>
      <w:r>
        <w:t xml:space="preserve">F1_fresco = 2×90.25×76.78/(90.25+76.78) = 82.97</w:t>
      </w:r>
    </w:p>
    <w:p>
      <w:pPr>
        <w:spacing w:after="100"/>
      </w:pPr>
      <w:r>
        <w:t xml:space="preserve">F1_no_fresco = 2×89.14×95.83/(89.14+95.83) = 92.36</w:t>
      </w:r>
    </w:p>
    <w:p>
      <w:pPr>
        <w:spacing w:after="100"/>
      </w:pPr>
      <w:r>
        <w:t xml:space="preserve">F1 macro = (82.97+92.36)/2 = 87.67   (valor guardado: 87.67)</w:t>
      </w:r>
    </w:p>
    <w:p>
      <w:pPr>
        <w:spacing w:after="100"/>
      </w:pPr>
      <w:r>
        <w:t xml:space="preserve">Accuracy = (324+804) / 1261 × 100 = 89.45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Rohu, sin augmentación x2 — matriz de confusión pooled (izq.) y curva ROC pooled (der.), AUC = 0.9514.</w:t>
      </w:r>
    </w:p>
    <w:p>
      <w:pPr>
        <w:pStyle w:val="Heading2"/>
        <w:spacing w:after="90" w:before="180"/>
      </w:pPr>
      <w:r>
        <w:t xml:space="preserve">4.2. DenseNet-121</w:t>
      </w:r>
    </w:p>
    <w:p>
      <w:pPr>
        <w:pStyle w:val="Heading3"/>
        <w:spacing w:after="70" w:before="140"/>
      </w:pPr>
      <w:r>
        <w:t xml:space="preserve">4.2.1 Trucha</w:t>
      </w:r>
    </w:p>
    <w:p>
      <w:pPr>
        <w:pStyle w:val="Heading4"/>
        <w:spacing w:after="60" w:before="120"/>
      </w:pPr>
      <w:r>
        <w:t xml:space="preserve">Sin augmentación x2 — F1 macro = 80.80   Accuracy = 82.00   AUC = 0.8973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77.50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78.70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82.51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0.9000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0.9402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76.04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0.8734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82.18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0.9334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(TP=328, FP=54, FN=153, TN=615, N=1150):</w:t>
      </w:r>
    </w:p>
    <w:p>
      <w:pPr>
        <w:spacing w:after="100"/>
      </w:pPr>
      <w:r>
        <w:t xml:space="preserve">F1_fresco = 2×85.86×68.19/(85.86+68.19) = 76.01</w:t>
      </w:r>
    </w:p>
    <w:p>
      <w:pPr>
        <w:spacing w:after="100"/>
      </w:pPr>
      <w:r>
        <w:t xml:space="preserve">F1_no_fresco = 2×80.08×91.93/(80.08+91.93) = 85.59</w:t>
      </w:r>
    </w:p>
    <w:p>
      <w:pPr>
        <w:spacing w:after="100"/>
      </w:pPr>
      <w:r>
        <w:t xml:space="preserve">F1 macro = (76.01+85.59)/2 = 80.80   (valor guardado: 80.80)</w:t>
      </w:r>
    </w:p>
    <w:p>
      <w:pPr>
        <w:spacing w:after="100"/>
      </w:pPr>
      <w:r>
        <w:t xml:space="preserve">Accuracy = (328+615) / 1150 × 100 = 82.00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Trucha, sin augmentación x2 — matriz de confusión pooled (izq.) y curva ROC pooled (der.), AUC = 0.8973.</w:t>
      </w:r>
    </w:p>
    <w:p>
      <w:pPr>
        <w:pStyle w:val="Heading3"/>
        <w:spacing w:after="70" w:before="140"/>
      </w:pPr>
      <w:r>
        <w:t xml:space="preserve">4.2.2 Rohu</w:t>
      </w:r>
    </w:p>
    <w:p>
      <w:pPr>
        <w:pStyle w:val="Heading4"/>
        <w:spacing w:after="60" w:before="120"/>
      </w:pPr>
      <w:r>
        <w:t xml:space="preserve">Sin augmentación x2 — F1 macro = 83.01   Accuracy = 85.57   AUC = 0.9140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0.9264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81.99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0.9124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0.9043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82.90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84.65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0.8878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(TP=295, FP=55, FN=127, TN=784, N=1261):</w:t>
      </w:r>
    </w:p>
    <w:p>
      <w:pPr>
        <w:spacing w:after="100"/>
      </w:pPr>
      <w:r>
        <w:t xml:space="preserve">F1_fresco = 2×84.29×69.91/(84.29+69.91) = 76.42</w:t>
      </w:r>
    </w:p>
    <w:p>
      <w:pPr>
        <w:spacing w:after="100"/>
      </w:pPr>
      <w:r>
        <w:t xml:space="preserve">F1_no_fresco = 2×86.06×93.44/(86.06+93.44) = 89.60</w:t>
      </w:r>
    </w:p>
    <w:p>
      <w:pPr>
        <w:spacing w:after="100"/>
      </w:pPr>
      <w:r>
        <w:t xml:space="preserve">F1 macro = (76.42+89.60)/2 = 83.01   (valor guardado: 83.01)</w:t>
      </w:r>
    </w:p>
    <w:p>
      <w:pPr>
        <w:spacing w:after="100"/>
      </w:pPr>
      <w:r>
        <w:t xml:space="preserve">Accuracy = (295+784) / 1261 × 100 = 85.57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Rohu, sin augmentación x2 — matriz de confusión pooled (izq.) y curva ROC pooled (der.), AUC = 0.9140.</w:t>
      </w:r>
    </w:p>
    <w:p>
      <w:pPr>
        <w:pStyle w:val="Heading1"/>
        <w:spacing w:after="120" w:before="240"/>
      </w:pPr>
      <w:r>
        <w:t xml:space="preserve">Anexo A. Trazabilidad de archivos fuente</w:t>
      </w:r>
    </w:p>
    <w:p>
      <w:pPr>
        <w:spacing w:after="100"/>
      </w:pPr>
      <w:r>
        <w:t xml:space="preserve">Todos los números de este documento provienen de archivos reales, sin datos simulados.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4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Qué</w:t>
            </w:r>
          </w:p>
        </w:tc>
        <w:tc>
          <w:tcPr>
            <w:tcW w:type="dxa" w:w="8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Dónde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Código de entrenamiento y evaluación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1_codigo/finetune_target_x2.py, experimento_dataset_mixto.py, linear_probe_confmat_roc.py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Logs de entrenamiento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2_logs/trucha_congelado_sinx2.log, 2_logs/rohu_congelado_sinx2.log, 2_logs/rohu_confmat_roc.log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Resultados por fold y resumen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3_resultados/{trucha,rohu}/congelado_sinx2_{por_fold,resumen}.csv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Matrices de confusión y curvas ROC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4_graficas/{trucha,rohu}_sinx2/{modelo}/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F1 macro de Mendeley (dominio fuente)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resultados/reportes/dnc_5fold_confmat_roc/metricas_pooled_por_modelo.csv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image" Target="media/bc7976f92b5929fb29aa8e303974135383d92e85.png"/><Relationship Id="rId10" Type="http://schemas.openxmlformats.org/officeDocument/2006/relationships/image" Target="media/6af5fea3dec0df41ab651d4effb88d3e953b37a4.png"/><Relationship Id="rId13" Type="http://schemas.openxmlformats.org/officeDocument/2006/relationships/image" Target="media/97df10e84cf21e60f0b344d3e0a4ad9b87293cf3.png"/><Relationship Id="rId14" Type="http://schemas.openxmlformats.org/officeDocument/2006/relationships/image" Target="media/5459fe5080ba6d89931a1df3eff638aacb247c3b.png"/><Relationship Id="rId17" Type="http://schemas.openxmlformats.org/officeDocument/2006/relationships/image" Target="media/c1a5b556a741a33820a338b9ad3d72ad0ab9177d.png"/><Relationship Id="rId18" Type="http://schemas.openxmlformats.org/officeDocument/2006/relationships/image" Target="media/80c937aa4f44091401e11ef1a059ec2bb2d84ffb.png"/><Relationship Id="rId21" Type="http://schemas.openxmlformats.org/officeDocument/2006/relationships/image" Target="media/f17c66a659e22555da5e6a7dddca36c7acd5ffa5.png"/><Relationship Id="rId22" Type="http://schemas.openxmlformats.org/officeDocument/2006/relationships/image" Target="media/4ff48c327c3aae1581488674bbe3831bf61b9b42.png"/><Relationship Id="rId2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2026-09-23T16:12:02.312Z</dcterms:created>
  <dcterms:modified xsi:type="dcterms:W3CDTF">2026-09-23T16:12:02.315Z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