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2"/>
          <w:szCs w:val="32"/>
        </w:rPr>
        <w:t xml:space="preserve">Resultados — ViT-Base/16 y DenseNet-121</w:t>
      </w:r>
    </w:p>
    <w:p>
      <w:pPr>
        <w:spacing w:after="260"/>
      </w:pPr>
      <w:r>
        <w:rPr>
          <w:i/>
          <w:iCs/>
          <w:sz w:val="22"/>
          <w:szCs w:val="22"/>
        </w:rPr>
        <w:t xml:space="preserve">Congelado (linear probe), Trucha y Rohu, con y sin augmentación x2</w:t>
      </w:r>
    </w:p>
    <w:p>
      <w:pPr>
        <w:pStyle w:val="Heading1"/>
        <w:spacing w:after="120" w:before="200"/>
      </w:pPr>
      <w:r>
        <w:t xml:space="preserve">1. Resultados con augmentación x2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32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Trucha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Rohu</w:t>
            </w:r>
          </w:p>
        </w:tc>
        <w:tc>
          <w:tcPr>
            <w:tcW w:type="dxa" w:w="3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Mendeley (fuente)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88.98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91.12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96.96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85.91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86.58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95.66</w:t>
            </w:r>
          </w:p>
        </w:tc>
      </w:tr>
    </w:tbl>
    <w:p>
      <w:pPr>
        <w:pStyle w:val="Heading1"/>
        <w:spacing w:after="120" w:before="200"/>
      </w:pPr>
      <w:r>
        <w:t xml:space="preserve">2. Resultados sin augmentación (sin x2)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32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Trucha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Rohu</w:t>
            </w:r>
          </w:p>
        </w:tc>
        <w:tc>
          <w:tcPr>
            <w:tcW w:type="dxa" w:w="3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Mendeley (fuente)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86.11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88.17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96.96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80.88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82.85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95.66</w:t>
            </w:r>
          </w:p>
        </w:tc>
      </w:tr>
    </w:tbl>
    <w:p>
      <w:pPr>
        <w:pStyle w:val="Heading1"/>
        <w:spacing w:after="120" w:before="200"/>
      </w:pPr>
      <w:r>
        <w:t xml:space="preserve">3. Efecto de x2</w:t>
      </w:r>
    </w:p>
    <w:tbl>
      <w:tblPr>
        <w:tblW w:type="dxa" w:w="1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4400"/>
      </w:tblGrid>
      <w:tr>
        <w:trPr>
          <w:tblHeader/>
        </w:trPr>
        <w:tc>
          <w:tcPr>
            <w:tcW w:type="dxa" w:w="3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4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Trucha (con x2 − sin x2)</w:t>
            </w:r>
          </w:p>
        </w:tc>
        <w:tc>
          <w:tcPr>
            <w:tcW w:type="dxa" w:w="4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Rohu (con x2 − sin x2)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+2.87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+2.95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+5.03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+3.73</w:t>
            </w:r>
          </w:p>
        </w:tc>
      </w:tr>
    </w:tbl>
    <w:p>
      <w:pPr>
        <w:spacing w:after="100"/>
      </w:pPr>
      <w:r>
        <w:t xml:space="preserve">x2 ayuda de forma consistente en los 2 modelos, en los dos dominios.</w:t>
      </w:r>
    </w:p>
    <w:p>
      <w:pPr>
        <w:pStyle w:val="Heading1"/>
        <w:spacing w:after="120" w:before="200"/>
      </w:pPr>
      <w:r>
        <w:t xml:space="preserve">4. Lectura</w:t>
      </w:r>
    </w:p>
    <w:p>
      <w:pPr>
        <w:spacing w:after="100"/>
      </w:pPr>
      <w:r>
        <w:t xml:space="preserve">ViT-Base/16 rinde por encima de DenseNet-121 en los dos dominios y en ambas variantes, consistente con su desempeño en Mendeley (dominio fuente), donde también es el mejor de los dos (96.96 vs. 95.66).</w:t>
      </w:r>
    </w:p>
    <w:p>
      <w:pPr>
        <w:spacing w:after="100"/>
      </w:pPr>
      <w:r>
        <w:t xml:space="preserve">Rohu rinde por encima de Trucha en los 2 modelos y en ambas variantes, con o sin augmentación.</w:t>
      </w:r>
    </w:p>
    <w:p>
      <w:pPr>
        <w:spacing w:after="100"/>
      </w:pPr>
      <w:r>
        <w:t xml:space="preserve">Frente a Mendeley, los dos dominios objetivo quedan por debajo en ambos modelos — la brecha de generalización cross-dataset que mide el proyecto.</w:t>
      </w:r>
    </w:p>
    <w:p>
      <w:pPr>
        <w:spacing w:before="200"/>
      </w:pPr>
      <w:r>
        <w:rPr>
          <w:i/>
          <w:iCs/>
          <w:color w:val="666666"/>
          <w:sz w:val="18"/>
          <w:szCs w:val="18"/>
        </w:rPr>
        <w:t xml:space="preserve">Método: congelado (linear probe), backbone con pesos fijos (checkpoint de Mendeley), 30 épocas, patience=8, fold aleatorio (5 folds). Mendeley: evaluación pooled de 5 folds sobre las 8,000 imágenes del dominio fuente.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2026-09-22T16:54:39.178Z</dcterms:created>
  <dcterms:modified xsi:type="dcterms:W3CDTF">2026-09-22T16:54:39.183Z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