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2"/>
          <w:szCs w:val="32"/>
        </w:rPr>
        <w:t xml:space="preserve">Documentación Técnica Detallada</w:t>
      </w:r>
    </w:p>
    <w:p>
      <w:pPr>
        <w:spacing w:after="20"/>
      </w:pPr>
      <w:r>
        <w:rPr>
          <w:sz w:val="24"/>
          <w:szCs w:val="24"/>
        </w:rPr>
        <w:t xml:space="preserve">Clasificación de Frescura de Pescado — Generalización Cross-Dataset (Trucha, Rohu)</w:t>
      </w:r>
    </w:p>
    <w:p>
      <w:pPr>
        <w:spacing w:after="20"/>
      </w:pPr>
      <w:r>
        <w:rPr>
          <w:i/>
          <w:iCs/>
          <w:sz w:val="20"/>
          <w:szCs w:val="20"/>
        </w:rPr>
        <w:t xml:space="preserve">Congelado (linear probe) — ViT-Base/16 y DenseNet-121, 5-fold, sin augmentación x2</w:t>
      </w:r>
    </w:p>
    <w:p>
      <w:pPr>
        <w:spacing w:after="260"/>
      </w:pPr>
      <w:r>
        <w:rPr>
          <w:i/>
          <w:iCs/>
          <w:color w:val="666666"/>
          <w:sz w:val="18"/>
          <w:szCs w:val="18"/>
        </w:rPr>
        <w:t xml:space="preserve">Cálculos por fold y pooled — con fórmulas, gráficas y datos trazables a los archivos fuente</w:t>
      </w:r>
    </w:p>
    <w:p>
      <w:pPr>
        <w:pStyle w:val="Heading1"/>
        <w:spacing w:after="120" w:before="240"/>
      </w:pPr>
      <w:r>
        <w:t xml:space="preserve">1. Metodología</w:t>
      </w:r>
    </w:p>
    <w:p>
      <w:pPr>
        <w:pStyle w:val="Heading2"/>
        <w:spacing w:after="90" w:before="180"/>
      </w:pPr>
      <w:r>
        <w:t xml:space="preserve">1.1 Qué es "congelado" (linear probe)</w:t>
      </w:r>
    </w:p>
    <w:p>
      <w:pPr>
        <w:spacing w:after="100"/>
      </w:pPr>
      <w:r>
        <w:t xml:space="preserve">Se parte del checkpoint ya entrenado sobre Mendeley (dominio fuente, 8,000 imágenes, 10 modelos evaluados en Documentacion_Tecnica_10_Modelos.docx). El backbone se congela (pesos fijos, sin gradiente) y solo se entrena la cabeza de clasificación sobre el dominio objetivo (Trucha o Rohu). Es entrenamiento real (hay backpropagation y actualización de pesos en la cabeza), no una evaluación zero-shot — la diferencia con fine-tuning completo es que el backbone no se actualiza.</w:t>
      </w:r>
    </w:p>
    <w:p>
      <w:pPr>
        <w:spacing w:after="80" w:before="140"/>
      </w:pPr>
      <w:r>
        <w:rPr>
          <w:b/>
        </w:rPr>
        <w:t xml:space="preserve">Partes del modelo</w:t>
      </w:r>
    </w:p>
    <w:p>
      <w:pPr>
        <w:spacing w:after="100"/>
      </w:pPr>
      <w:r>
        <w:rPr>
          <w:b/>
        </w:rPr>
        <w:t xml:space="preserve">Backbone: </w:t>
      </w:r>
      <w:r>
        <w:t xml:space="preserve">las capas que extraen las características de la imagen. En ViT-Base/16 son los 12 bloques transformer; en DenseNet-121, los bloques densos convolucionales. Es la parte que "aprendió a ver" el ojo del pescado durante el entrenamiento en Mendeley.</w:t>
      </w:r>
    </w:p>
    <w:p>
      <w:pPr>
        <w:spacing w:after="100"/>
      </w:pPr>
      <w:r>
        <w:rPr>
          <w:b/>
        </w:rPr>
        <w:t xml:space="preserve">Cabeza de clasificación: </w:t>
      </w:r>
      <w:r>
        <w:t xml:space="preserve">la última capa lineal, que recibe el vector de características del backbone y produce 2 salidas (fresco / no_fresco). Es la única parte que se vuelve a entrenar.</w:t>
      </w:r>
    </w:p>
    <w:p>
      <w:pPr>
        <w:spacing w:after="80" w:before="140"/>
      </w:pPr>
      <w:r>
        <w:rPr>
          <w:b/>
        </w:rPr>
        <w:t xml:space="preserve">Qué significa congelar, en el código (finetune_target_x2.py, finetune_eval_fold)</w:t>
      </w:r>
    </w:p>
    <w:p>
      <w:pPr>
        <w:spacing w:after="100"/>
      </w:pPr>
      <w:r>
        <w:rPr>
          <w:b/>
        </w:rPr>
        <w:t xml:space="preserve">Sin gradiente: </w:t>
      </w:r>
      <w:r>
        <w:t xml:space="preserve">todos los parámetros del backbone se marcan con requires_grad=False. El optimizador solo recibe los parámetros de la cabeza, por lo que los pesos del backbone no cambian.</w:t>
      </w:r>
    </w:p>
    <w:p>
      <w:pPr>
        <w:spacing w:after="100"/>
      </w:pPr>
      <w:r>
        <w:rPr>
          <w:b/>
        </w:rPr>
        <w:t xml:space="preserve">Backbone en modo eval(): </w:t>
      </w:r>
      <w:r>
        <w:t xml:space="preserve">durante el entrenamiento el backbone se mantiene en eval() y solo la cabeza en train(). Así BatchNorm (presente en DenseNet-121) no actualiza sus estadísticas con datos del dominio objetivo y Dropout queda desactivado. Sin esto no sería un backbone realmente congelado, sino una adaptación parcial.</w:t>
      </w:r>
    </w:p>
    <w:p>
      <w:pPr>
        <w:spacing w:after="100"/>
      </w:pPr>
      <w:r>
        <w:rPr>
          <w:b/>
        </w:rPr>
        <w:t xml:space="preserve">Cabeza: </w:t>
      </w:r>
      <w:r>
        <w:t xml:space="preserve">se parte de la cabeza del checkpoint de Mendeley y se reentrena con imágenes del dominio objetivo. No se agrega una capa nueva: la "capa adicional" del flujo es esta cabeza reentrenada.</w:t>
      </w:r>
    </w:p>
    <w:p>
      <w:pPr>
        <w:spacing w:after="100"/>
      </w:pPr>
      <w:r>
        <w:rPr>
          <w:b/>
        </w:rPr>
        <w:t xml:space="preserve">Hiperparámetros: </w:t>
      </w:r>
      <w:r>
        <w:t xml:space="preserve">AdamW (lr=1e-4, weight_decay=1e-4), CosineAnnealingLR, CrossEntropyLoss, hasta 30 épocas, early stopping con paciencia=8.</w:t>
      </w:r>
    </w:p>
    <w:p>
      <w:pPr>
        <w:spacing w:after="80" w:before="140"/>
      </w:pPr>
      <w:r>
        <w:rPr>
          <w:b/>
        </w:rPr>
        <w:t xml:space="preserve">Comparación con los otros enfoques</w:t>
      </w:r>
    </w:p>
    <w:p>
      <w:pPr>
        <w:spacing w:after="100"/>
      </w:pPr>
      <w:r>
        <w:rPr>
          <w:b/>
        </w:rPr>
        <w:t xml:space="preserve">Zero-shot: </w:t>
      </w:r>
      <w:r>
        <w:t xml:space="preserve">el modelo de Mendeley se evalúa directamente en el dominio objetivo, sin entrenar nada. Mide la generalización pura.</w:t>
      </w:r>
    </w:p>
    <w:p>
      <w:pPr>
        <w:spacing w:after="100"/>
      </w:pPr>
      <w:r>
        <w:rPr>
          <w:b/>
        </w:rPr>
        <w:t xml:space="preserve">Congelado (este documento): </w:t>
      </w:r>
      <w:r>
        <w:t xml:space="preserve">se entrena solo la cabeza con imágenes del dominio objetivo. Mide cuán transferibles son las características aprendidas en Mendeley: si una cabeza lineal basta para separar las clases, el backbone ya generaliza.</w:t>
      </w:r>
    </w:p>
    <w:p>
      <w:pPr>
        <w:spacing w:after="100"/>
      </w:pPr>
      <w:r>
        <w:rPr>
          <w:b/>
        </w:rPr>
        <w:t xml:space="preserve">Fine-tuning completo: </w:t>
      </w:r>
      <w:r>
        <w:t xml:space="preserve">se entrenan todos los pesos (backbone con lr más bajo, cabeza con lr más alto). Tiene más capacidad de adaptación, pero también más inestabilidad y más riesgo de sobreajuste con ~1,000 imágenes.</w:t>
      </w:r>
    </w:p>
    <w:p>
      <w:pPr>
        <w:spacing w:after="100"/>
      </w:pPr>
      <w:r>
        <w:rPr>
          <w:b/>
        </w:rPr>
        <w:t xml:space="preserve">Por qué congelado: </w:t>
      </w:r>
      <w:r>
        <w:t xml:space="preserve">con pocos parámetros libres el entrenamiento es estable entre folds, el riesgo de sobreajuste es bajo y la comparación entre ViT-Base/16 y DenseNet-121 refleja la calidad de sus características, no su capacidad de reaprender.</w:t>
      </w:r>
    </w:p>
    <w:p>
      <w:pPr>
        <w:pStyle w:val="Heading2"/>
        <w:spacing w:after="90" w:before="180"/>
      </w:pPr>
      <w:r>
        <w:t xml:space="preserve">1.2 Flujo del experimento</w:t>
      </w:r>
    </w:p>
    <w:p>
      <w:pPr>
        <w:spacing w:after="100"/>
      </w:pPr>
      <w:r>
        <w:t xml:space="preserve">El mismo flujo se aplica por separado a cada dominio objetivo (Trucha y Rohu), a cada modelo (ViT-Base/16, DenseNet-121).</w:t>
      </w:r>
    </w:p>
    <w:p>
      <w:pPr>
        <w:spacing w:after="100"/>
      </w:pPr>
      <w:r>
        <w:rPr>
          <w:b/>
        </w:rPr>
        <w:t xml:space="preserve">Paso 1 — Modelo entrenado en Mendeley. </w:t>
      </w:r>
      <w:r>
        <w:t xml:space="preserve">Punto de partida: 5 checkpoints por arquitectura ({modelo}_fold{k}_best.pt, k=1..5), entrenados sobre Mendeley (8,000 imágenes ya recortadas al ojo).</w:t>
      </w:r>
    </w:p>
    <w:p>
      <w:pPr>
        <w:spacing w:after="100"/>
      </w:pPr>
      <w:r>
        <w:rPr>
          <w:b/>
        </w:rPr>
        <w:t xml:space="preserve">Paso 2 — Dataset objetivo con imágenes diferentes. </w:t>
      </w:r>
      <w:r>
        <w:t xml:space="preserve">Las fotos originales de Trucha y Rohu son de cabeza completa a resolución de cámara (~4160×3120 y ~4032×3024 px). Usarlas tal cual mezclaría el cambio de dominio con un cambio de encuadre, y la comparación no sería válida.</w:t>
      </w:r>
    </w:p>
    <w:p>
      <w:pPr>
        <w:spacing w:after="100"/>
      </w:pPr>
      <w:r>
        <w:rPr>
          <w:b/>
        </w:rPr>
        <w:t xml:space="preserve">Paso 3 — Función de procesamiento de imágenes. </w:t>
      </w:r>
      <w:r>
        <w:t xml:space="preserve">preprocess_ojos_trucha.py y preprocess_ojos_rohu.py: (1) detectan el ojo con Fast Radial Symmetry Transform, (2) recortan un cuadrado centrado en el ojo con el mismo encuadre que Mendeley, (3) normalizan brillo y contraste con CLAHE, (4) redimensionan a 330×330 px.</w:t>
      </w:r>
    </w:p>
    <w:p>
      <w:pPr>
        <w:spacing w:after="100"/>
      </w:pPr>
      <w:r>
        <w:rPr>
          <w:b/>
        </w:rPr>
        <w:t xml:space="preserve">Paso 4 — Nuevo dataset con las imágenes procesadas. </w:t>
      </w:r>
      <w:r>
        <w:t xml:space="preserve">Se conservan las detecciones con estado "ok" más las rescatadas en revisión manual; en Rohu además se excluyen los falsos positivos confirmados (escama, aleta, borrosa). Resultado: Trucha 1,150 imágenes y Rohu 1,261 imágenes (domains.py).</w:t>
      </w:r>
    </w:p>
    <w:p>
      <w:pPr>
        <w:spacing w:after="100"/>
      </w:pPr>
      <w:r>
        <w:rPr>
          <w:b/>
        </w:rPr>
        <w:t xml:space="preserve">Paso 5 — Partición en 5 folds. </w:t>
      </w:r>
      <w:r>
        <w:t xml:space="preserve">Trucha: StratifiedKFold. Rohu: StratifiedGroupKFold, agrupando casi-duplicados (fotos en ráfaga detectadas por aHash, detectar_duplicados.py) para que una foto y su casi-gemela no queden una en entrenamiento y otra en validación. Ambos con seed=42 y estratificados por clase. En cada fold, 4/5 de las imágenes son de entrenamiento y 1/5 de validación.</w:t>
      </w:r>
    </w:p>
    <w:p>
      <w:pPr>
        <w:spacing w:after="100"/>
      </w:pPr>
      <w:r>
        <w:rPr>
          <w:b/>
        </w:rPr>
        <w:t xml:space="preserve">Paso 6 — Entrenamiento congelado. </w:t>
      </w:r>
      <w:r>
        <w:t xml:space="preserve">En el fold k se carga el checkpoint de Mendeley del mismo fold k, se congela el backbone (sección 1.1) y se entrena solo la cabeza con la porción de entrenamiento del fold, con augmentación y sin x2 (sección 1.5). El resultado es un modelo nuevo: backbone de Mendeley + cabeza adaptada al dominio objetivo.</w:t>
      </w:r>
    </w:p>
    <w:p>
      <w:pPr>
        <w:spacing w:after="100"/>
      </w:pPr>
      <w:r>
        <w:rPr>
          <w:b/>
        </w:rPr>
        <w:t xml:space="preserve">Paso 7 — Evaluación. </w:t>
      </w:r>
      <w:r>
        <w:t xml:space="preserve">El modelo resultante se evalúa sobre la porción de validación del fold, con imágenes que no vio durante el entrenamiento. Esta misma porción se usa para elegir la mejor época (early stopping); no existe un conjunto de test separado.</w:t>
      </w:r>
    </w:p>
    <w:p>
      <w:pPr>
        <w:spacing w:after="100"/>
      </w:pPr>
      <w:r>
        <w:rPr>
          <w:b/>
        </w:rPr>
        <w:t xml:space="preserve">Paso 8 — Resultados. </w:t>
      </w:r>
      <w:r>
        <w:t xml:space="preserve">Por fold se calculan F1 macro y Accuracy (fórmulas en la sección 2.2). El valor de las tablas por fold es la media de los 5 folds. Además, las predicciones de los 5 folds se unen para la matriz de confusión, la curva ROC y el AUC pooled (sección 1.6). Con F1 se calculan TRD, Brecha y RBE (sección 2.4).</w:t>
      </w:r>
    </w:p>
    <w:p>
      <w:pPr>
        <w:spacing w:after="100"/>
      </w:pPr>
      <w:r>
        <w:rPr>
          <w:b/>
        </w:rPr>
        <w:t xml:space="preserve">Folds y corridas: </w:t>
      </w:r>
      <w:r>
        <w:t xml:space="preserve">5 folds × 2 modelos × 2 dominios = 20 entrenamientos, todos sin x2. Se hizo una corrida por fold con seed=42; no se repitió con varias semillas.</w:t>
      </w:r>
    </w:p>
    <w:p>
      <w:pPr>
        <w:pStyle w:val="Heading2"/>
        <w:spacing w:after="90" w:before="180"/>
      </w:pPr>
      <w:r>
        <w:t xml:space="preserve">1.3 Datasets evaluados</w:t>
      </w:r>
    </w:p>
    <w:p>
      <w:pPr>
        <w:spacing w:after="100"/>
      </w:pPr>
      <w:r>
        <w:t xml:space="preserve">Trucha: 1,150 imágenes (OneDrive), dominio objetivo original del proyecto.</w:t>
      </w:r>
    </w:p>
    <w:p>
      <w:pPr>
        <w:spacing w:after="100"/>
      </w:pPr>
      <w:r>
        <w:t xml:space="preserve">Rohu: 1,261 imágenes, dominio objetivo evaluado bajo el mismo protocolo que Trucha, con el mismo pipeline de entrenamiento.</w:t>
      </w:r>
    </w:p>
    <w:p>
      <w:pPr>
        <w:pStyle w:val="Heading2"/>
        <w:spacing w:after="90" w:before="180"/>
      </w:pPr>
      <w:r>
        <w:t xml:space="preserve">1.4 Entrenamiento y selección del mejor epoch</w:t>
      </w:r>
    </w:p>
    <w:p>
      <w:pPr>
        <w:spacing w:after="100"/>
      </w:pPr>
      <w:r>
        <w:t xml:space="preserve">5-fold estratificado por clase (fresco/no_fresco). Por cada fold: hasta 30 épocas, early stopping con paciencia=8 épocas sin mejora en val_F1. Se recarga el checkpoint del mejor val_F1 (no el peso del último epoch) y se evalúa una sola vez contra la partición de validación de ese fold.</w:t>
      </w:r>
    </w:p>
    <w:p>
      <w:pPr>
        <w:pStyle w:val="Heading2"/>
        <w:spacing w:after="90" w:before="180"/>
      </w:pPr>
      <w:r>
        <w:t xml:space="preserve">1.5 Augmentación: sin x2</w:t>
      </w:r>
    </w:p>
    <w:p>
      <w:pPr>
        <w:spacing w:after="100"/>
      </w:pPr>
      <w:r>
        <w:t xml:space="preserve">La augmentación de datos genera, durante el entrenamiento, versiones modificadas al azar de cada imagen (girada, más clara, desenfocada, etc.). El modelo nunca ve exactamente la misma imagen dos veces, y así aprende la característica que importa (el estado del ojo) en lugar de memorizar detalles de cada foto.</w:t>
      </w:r>
    </w:p>
    <w:p>
      <w:pPr>
        <w:spacing w:after="80" w:before="140"/>
      </w:pPr>
      <w:r>
        <w:rPr>
          <w:b/>
        </w:rPr>
        <w:t xml:space="preserve">Transformaciones aplicadas (run_freshness_v3.py, get_transforms_v3)</w:t>
      </w:r>
    </w:p>
    <w:p>
      <w:pPr>
        <w:spacing w:after="100"/>
      </w:pPr>
      <w:r>
        <w:t xml:space="preserve">Se aplican en este orden, cada una con valores elegidos al azar en cada uso:</w:t>
      </w:r>
    </w:p>
    <w:p>
      <w:pPr>
        <w:spacing w:after="100"/>
      </w:pPr>
      <w:r>
        <w:rPr>
          <w:b/>
        </w:rPr>
        <w:t xml:space="preserve">1. Recorte aleatorio: </w:t>
      </w:r>
      <w:r>
        <w:t xml:space="preserve">la imagen se redimensiona a 32 px más que el tamaño de entrada (256 para ViT-Base/16, 288 para DenseNet-121) y se recorta una ventana al azar de 224×224 o 256×256. Simula que el ojo no siempre queda en el mismo lugar del encuadre, por ejemplo por pequeñas imprecisiones del detector.</w:t>
      </w:r>
    </w:p>
    <w:p>
      <w:pPr>
        <w:spacing w:after="100"/>
      </w:pPr>
      <w:r>
        <w:rPr>
          <w:b/>
        </w:rPr>
        <w:t xml:space="preserve">2. Volteo horizontal (probabilidad 50%) y vertical (20%): </w:t>
      </w:r>
      <w:r>
        <w:t xml:space="preserve">simula ojo izquierdo o derecho y distinta orientación del pescado.</w:t>
      </w:r>
    </w:p>
    <w:p>
      <w:pPr>
        <w:spacing w:after="100"/>
      </w:pPr>
      <w:r>
        <w:rPr>
          <w:b/>
        </w:rPr>
        <w:t xml:space="preserve">3. Variación de color (ColorJitter): </w:t>
      </w:r>
      <w:r>
        <w:t xml:space="preserve">brillo ±30%, contraste ±30%, saturación ±40% y tono ±0.1. Simula distinta iluminación y cámaras, que es justamente lo que cambia entre Mendeley, Trucha y Rohu.</w:t>
      </w:r>
    </w:p>
    <w:p>
      <w:pPr>
        <w:spacing w:after="100"/>
      </w:pPr>
      <w:r>
        <w:rPr>
          <w:b/>
        </w:rPr>
        <w:t xml:space="preserve">4. Escala de grises (5%): </w:t>
      </w:r>
      <w:r>
        <w:t xml:space="preserve">de vez en cuando se quita el color, para que el modelo no dependa solo del color del ojo.</w:t>
      </w:r>
    </w:p>
    <w:p>
      <w:pPr>
        <w:spacing w:after="100"/>
      </w:pPr>
      <w:r>
        <w:rPr>
          <w:b/>
        </w:rPr>
        <w:t xml:space="preserve">5. Desenfoque gaussiano: </w:t>
      </w:r>
      <w:r>
        <w:t xml:space="preserve">kernel 3×3, sigma entre 0.1 y 1.5. Simula fotos levemente fuera de foco.</w:t>
      </w:r>
    </w:p>
    <w:p>
      <w:pPr>
        <w:spacing w:after="100"/>
      </w:pPr>
      <w:r>
        <w:rPr>
          <w:b/>
        </w:rPr>
        <w:t xml:space="preserve">6. Rotación: </w:t>
      </w:r>
      <w:r>
        <w:t xml:space="preserve">hasta ±15°. Simula inclinación del pescado o de la cámara.</w:t>
      </w:r>
    </w:p>
    <w:p>
      <w:pPr>
        <w:spacing w:after="100"/>
      </w:pPr>
      <w:r>
        <w:rPr>
          <w:b/>
        </w:rPr>
        <w:t xml:space="preserve">7. Borrado aleatorio (RandomErasing, 10%): </w:t>
      </w:r>
      <w:r>
        <w:t xml:space="preserve">tapa un rectángulo de entre 2% y 10% del área. Simula reflejos u oclusiones y obliga al modelo a no depender de un solo detalle.</w:t>
      </w:r>
    </w:p>
    <w:p>
      <w:pPr>
        <w:spacing w:after="100"/>
      </w:pPr>
      <w:r>
        <w:t xml:space="preserve">Al final la imagen se normaliza con la media y desviación de ImageNet. Esto no es augmentación: se aplica siempre, también en validación.</w:t>
      </w:r>
    </w:p>
    <w:p>
      <w:pPr>
        <w:spacing w:after="100"/>
      </w:pPr>
      <w:r>
        <w:rPr>
          <w:b/>
        </w:rPr>
        <w:t xml:space="preserve">Importante: </w:t>
      </w:r>
      <w:r>
        <w:t xml:space="preserve">las transformaciones se aplican en memoria al cargar cada imagen; no se guardan copias en disco. Las imágenes de validación nunca se modifican (solo redimensionar y normalizar), para que la métrica refleje imágenes reales.</w:t>
      </w:r>
    </w:p>
    <w:p>
      <w:pPr>
        <w:spacing w:after="80" w:before="140"/>
      </w:pPr>
      <w:r>
        <w:rPr>
          <w:b/>
        </w:rPr>
        <w:t xml:space="preserve">Una vista por imagen y por época (sin x2)</w:t>
      </w:r>
    </w:p>
    <w:p>
      <w:pPr>
        <w:spacing w:after="100"/>
      </w:pPr>
      <w:r>
        <w:t xml:space="preserve">Cada imagen de entrenamiento aparece una sola vez por época, con una transformación al azar. En Trucha, un fold tiene 920 imágenes de entrenamiento, es decir 920 vistas por época. Como las transformaciones cambian en cada época, a lo largo de hasta 30 épocas el modelo ve muchas versiones distintas de cada foto sin agregar fotos nuevas.</w:t>
      </w:r>
    </w:p>
    <w:p>
      <w:pPr>
        <w:spacing w:after="100"/>
      </w:pPr>
      <w:r>
        <w:rPr>
          <w:b/>
        </w:rPr>
        <w:t xml:space="preserve">Ejemplo: </w:t>
      </w:r>
      <w:r>
        <w:t xml:space="preserve">en la época 1 una foto puede salir volteada, 20% más clara y girada 8°; en la época 2, sin voltear, desenfocada y con el ojo desplazado a la izquierda.</w:t>
      </w:r>
    </w:p>
    <w:p>
      <w:pPr>
        <w:spacing w:after="100"/>
      </w:pPr>
      <w:r>
        <w:t xml:space="preserve">Sin x2 significa que la lista de entrenamiento no se duplica: se descartó la variante x2, en la que cada imagen aparecía 2 veces por época con dos transformaciones distintas.</w:t>
      </w:r>
    </w:p>
    <w:p>
      <w:pPr>
        <w:spacing w:after="80" w:before="140"/>
      </w:pPr>
      <w:r>
        <w:rPr>
          <w:b/>
        </w:rPr>
        <w:t xml:space="preserve">Por qué se eligió</w:t>
      </w:r>
    </w:p>
    <w:p>
      <w:pPr>
        <w:spacing w:after="100"/>
      </w:pPr>
      <w:r>
        <w:rPr>
          <w:b/>
        </w:rPr>
        <w:t xml:space="preserve">Pocos datos: </w:t>
      </w:r>
      <w:r>
        <w:t xml:space="preserve">cada fold entrena con ~900-1,000 imágenes, frente a las 8,000 de Mendeley. Con tan pocas imágenes, la cabeza puede memorizar el conjunto de entrenamiento; la augmentación lo reduce.</w:t>
      </w:r>
    </w:p>
    <w:p>
      <w:pPr>
        <w:spacing w:after="100"/>
      </w:pPr>
      <w:r>
        <w:rPr>
          <w:b/>
        </w:rPr>
        <w:t xml:space="preserve">Coincide con el cambio de dominio: </w:t>
      </w:r>
      <w:r>
        <w:t xml:space="preserve">lo que diferencia a los datasets es la iluminación, la cámara, el ángulo y el enfoque. Las transformaciones simulan esas mismas diferencias, por lo que entrenan al modelo para tolerarlas, que es el objetivo de generalización del proyecto.</w:t>
      </w:r>
    </w:p>
    <w:p>
      <w:pPr>
        <w:spacing w:after="100"/>
      </w:pPr>
      <w:r>
        <w:rPr>
          <w:b/>
        </w:rPr>
        <w:t xml:space="preserve">Misma augmentación que en Mendeley: </w:t>
      </w:r>
      <w:r>
        <w:t xml:space="preserve">get_transforms_v3 es la misma función usada al entrenar los checkpoints de Mendeley, así que el dominio objetivo se entrena con el mismo tratamiento de imágenes que el dominio fuente.</w:t>
      </w:r>
    </w:p>
    <w:p>
      <w:pPr>
        <w:pStyle w:val="Heading2"/>
        <w:spacing w:after="90" w:before="180"/>
      </w:pPr>
      <w:r>
        <w:t xml:space="preserve">1.6 Resultado pooled — cómo se calcula</w:t>
      </w:r>
    </w:p>
    <w:p>
      <w:pPr>
        <w:spacing w:after="100"/>
      </w:pPr>
      <w:r>
        <w:t xml:space="preserve">Las predicciones de validación de los 5 folds se concatenan (una imagen evaluada una sola vez, en el fold donde fue validación) y se calcula la matriz de confusión y las métricas UNA sola vez sobre el conjunto unido:</w:t>
      </w:r>
    </w:p>
    <w:p>
      <w:pPr>
        <w:spacing w:after="100"/>
      </w:pPr>
      <w:r>
        <w:rPr>
          <w:i/>
          <w:iCs/>
        </w:rPr>
        <w:t xml:space="preserve">Matriz_pooled = Matriz_fold1 + Matriz_fold2 + Matriz_fold3 + Matriz_fold4 + Matriz_fold5</w:t>
      </w:r>
    </w:p>
    <w:p>
      <w:pPr>
        <w:pStyle w:val="Heading1"/>
        <w:spacing w:after="120" w:before="240"/>
      </w:pPr>
      <w:r>
        <w:t xml:space="preserve">2. Glosario de fórmulas</w:t>
      </w:r>
    </w:p>
    <w:p>
      <w:pPr>
        <w:pStyle w:val="Heading2"/>
        <w:spacing w:after="90" w:before="180"/>
      </w:pPr>
      <w:r>
        <w:t xml:space="preserve">2.1 Matriz de confusión (clase "fresco" como positiva)</w:t>
      </w:r>
    </w:p>
    <w:p>
      <w:pPr>
        <w:spacing w:after="100"/>
      </w:pPr>
      <w:r>
        <w:t xml:space="preserve">TP = fresco→fresco (acierto)   FN = fresco→no_fresco (error)   FP = no_fresco→fresco (error)   TN = no_fresco→no_fresco (acierto)</w:t>
      </w:r>
    </w:p>
    <w:p>
      <w:pPr>
        <w:pStyle w:val="Heading2"/>
        <w:spacing w:after="90" w:before="180"/>
      </w:pPr>
      <w:r>
        <w:t xml:space="preserve">2.2 Métricas de desempeño (por fold y pooled)</w:t>
      </w:r>
    </w:p>
    <w:p>
      <w:pPr>
        <w:spacing w:after="100"/>
      </w:pPr>
      <w:r>
        <w:t xml:space="preserve">Precisión = TP / (TP+FP) × 100     Recall = TP / (TP+FN) × 100</w:t>
      </w:r>
    </w:p>
    <w:p>
      <w:pPr>
        <w:spacing w:after="100"/>
      </w:pPr>
      <w:r>
        <w:t xml:space="preserve">F1 = 2 × Precisión × Recall / (Precisión + Recall)</w:t>
      </w:r>
    </w:p>
    <w:p>
      <w:pPr>
        <w:spacing w:after="100"/>
      </w:pPr>
      <w:r>
        <w:t xml:space="preserve">F1 macro = (F1_fresco + F1_no_fresco) / 2 — se calcula F1 tomando cada clase como positiva por turno, y se promedian. Es la métrica "F1" usada en TODAS las tablas de este documento.</w:t>
      </w:r>
    </w:p>
    <w:p>
      <w:pPr>
        <w:spacing w:after="100"/>
      </w:pPr>
      <w:r>
        <w:t xml:space="preserve">Accuracy = (TP+TN) / N × 100</w:t>
      </w:r>
    </w:p>
    <w:p>
      <w:pPr>
        <w:pStyle w:val="Heading2"/>
        <w:spacing w:after="90" w:before="180"/>
      </w:pPr>
      <w:r>
        <w:t xml:space="preserve">2.3 AUC y curva ROC</w:t>
      </w:r>
    </w:p>
    <w:p>
      <w:pPr>
        <w:spacing w:after="100"/>
      </w:pPr>
      <w:r>
        <w:t xml:space="preserve">El Accuracy usa un solo corte de decisión (softmax &gt; 50%). El AUC evalúa la calidad de la probabilidad en todos los cortes posibles — un modelo puede tener AUC alto y Accuracy más bajo si su corte óptimo no es exactamente 50%.</w:t>
      </w:r>
    </w:p>
    <w:p>
      <w:pPr>
        <w:pStyle w:val="Heading2"/>
        <w:spacing w:after="90" w:before="180"/>
      </w:pPr>
      <w:r>
        <w:t xml:space="preserve">2.4 Indicadores de robustez ante cambio de dominio (TRD, Brecha, RBE)</w:t>
      </w:r>
    </w:p>
    <w:p>
      <w:pPr>
        <w:spacing w:after="100"/>
      </w:pPr>
      <w:r>
        <w:t xml:space="preserve">Indicadores del plan de tesis (Dimensión 2 — Robustez ante el Cambio de Dominio):</w:t>
      </w:r>
    </w:p>
    <w:p>
      <w:pPr>
        <w:spacing w:after="100"/>
      </w:pPr>
      <w:r>
        <w:rPr>
          <w:b/>
          <w:bCs/>
        </w:rPr>
        <w:t xml:space="preserve">Tasa de Retención del Desempeño:  TRD = (F1_objetivo / F1_fuente) × 100</w:t>
      </w:r>
    </w:p>
    <w:p>
      <w:pPr>
        <w:spacing w:after="100"/>
      </w:pPr>
      <w:r>
        <w:t xml:space="preserve">Porcentaje del desempeño de Mendeley (dominio fuente) que el modelo conserva al evaluarse en el dominio objetivo. 100% = sin caída de desempeño.</w:t>
      </w:r>
    </w:p>
    <w:p>
      <w:pPr>
        <w:spacing w:after="100"/>
      </w:pPr>
      <w:r>
        <w:rPr>
          <w:b/>
          <w:bCs/>
        </w:rPr>
        <w:t xml:space="preserve">Brecha de Error:  Error = 1 − F1/100     Gap = Error_objetivo − Error_fuente</w:t>
      </w:r>
    </w:p>
    <w:p>
      <w:pPr>
        <w:spacing w:after="100"/>
      </w:pPr>
      <w:r>
        <w:t xml:space="preserve">Cuánto aumenta el error del modelo al pasar del dominio fuente al objetivo.</w:t>
      </w:r>
    </w:p>
    <w:p>
      <w:pPr>
        <w:spacing w:after="100"/>
      </w:pPr>
      <w:r>
        <w:rPr>
          <w:b/>
          <w:bCs/>
        </w:rPr>
        <w:t xml:space="preserve">Reducción de Brecha de Error, respecto a DenseNet-121 (baseline CNN):  RBE = (Gap_baseline − Gap_modelo) / Gap_baseline × 100</w:t>
      </w:r>
    </w:p>
    <w:p>
      <w:pPr>
        <w:spacing w:after="100"/>
      </w:pPr>
      <w:r>
        <w:t xml:space="preserve">Mide cuánto reduce cada modelo la brecha de error frente al baseline. RBE &gt; 0 = mejor transferencia que el baseline; RBE &lt; 0 = peor. Para el propio baseline, Gap_baseline = Gap_modelo, por lo que RBE = 0.0 exacto — es una tautología (comparación contra sí mismo), no una medición independiente; se muestra igual para no dejar la celda vacía.</w:t>
      </w:r>
    </w:p>
    <w:p>
      <w:pPr>
        <w:pStyle w:val="Heading1"/>
        <w:spacing w:after="120" w:before="240"/>
      </w:pPr>
      <w:r>
        <w:t xml:space="preserve">3. Resultado comparativo — 2 modelos × 2 dominios (sin augmentación x2)</w:t>
      </w:r>
    </w:p>
    <w:p>
      <w:pPr>
        <w:pStyle w:val="Heading2"/>
        <w:spacing w:after="90" w:before="180"/>
      </w:pPr>
      <w:r>
        <w:t xml:space="preserve">3.1 F1, Accuracy y AUC pooled — Sin augmentación x2</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400"/>
        <w:gridCol w:w="2400"/>
        <w:gridCol w:w="1800"/>
      </w:tblGrid>
      <w:tr>
        <w:trPr>
          <w:tblHeader/>
        </w:trPr>
        <w:tc>
          <w:tcPr>
            <w:tcW w:type="dxa" w:w="2800"/>
            <w:shd w:fill="D9E2F3" w:val="clear"/>
            <w:tcMar>
              <w:top w:type="dxa" w:w="60"/>
              <w:left w:type="dxa" w:w="100"/>
              <w:bottom w:type="dxa" w:w="60"/>
              <w:right w:type="dxa" w:w="100"/>
            </w:tcMar>
          </w:tcPr>
          <w:p>
            <w:pPr>
              <w:jc w:val="center"/>
            </w:pPr>
            <w:r>
              <w:rPr>
                <w:b/>
                <w:bCs/>
              </w:rPr>
              <w:t xml:space="preserve">Modelo</w:t>
            </w:r>
          </w:p>
        </w:tc>
        <w:tc>
          <w:tcPr>
            <w:tcW w:type="dxa" w:w="1800"/>
            <w:shd w:fill="D9E2F3" w:val="clear"/>
            <w:tcMar>
              <w:top w:type="dxa" w:w="60"/>
              <w:left w:type="dxa" w:w="100"/>
              <w:bottom w:type="dxa" w:w="60"/>
              <w:right w:type="dxa" w:w="100"/>
            </w:tcMar>
          </w:tcPr>
          <w:p>
            <w:pPr>
              <w:jc w:val="center"/>
            </w:pPr>
            <w:r>
              <w:rPr>
                <w:b/>
                <w:bCs/>
              </w:rPr>
              <w:t xml:space="preserve">Dominio</w:t>
            </w:r>
          </w:p>
        </w:tc>
        <w:tc>
          <w:tcPr>
            <w:tcW w:type="dxa" w:w="2400"/>
            <w:shd w:fill="D9E2F3" w:val="clear"/>
            <w:tcMar>
              <w:top w:type="dxa" w:w="60"/>
              <w:left w:type="dxa" w:w="100"/>
              <w:bottom w:type="dxa" w:w="60"/>
              <w:right w:type="dxa" w:w="100"/>
            </w:tcMar>
          </w:tcPr>
          <w:p>
            <w:pPr>
              <w:jc w:val="center"/>
            </w:pPr>
            <w:r>
              <w:rPr>
                <w:b/>
                <w:bCs/>
              </w:rPr>
              <w:t xml:space="preserve">F1 macro (pooled)</w:t>
            </w:r>
          </w:p>
        </w:tc>
        <w:tc>
          <w:tcPr>
            <w:tcW w:type="dxa" w:w="2400"/>
            <w:shd w:fill="D9E2F3" w:val="clear"/>
            <w:tcMar>
              <w:top w:type="dxa" w:w="60"/>
              <w:left w:type="dxa" w:w="100"/>
              <w:bottom w:type="dxa" w:w="60"/>
              <w:right w:type="dxa" w:w="100"/>
            </w:tcMar>
          </w:tcPr>
          <w:p>
            <w:pPr>
              <w:jc w:val="center"/>
            </w:pPr>
            <w:r>
              <w:rPr>
                <w:b/>
                <w:bCs/>
              </w:rPr>
              <w:t xml:space="preserve">Accuracy (pooled)</w:t>
            </w:r>
          </w:p>
        </w:tc>
        <w:tc>
          <w:tcPr>
            <w:tcW w:type="dxa" w:w="1800"/>
            <w:shd w:fill="D9E2F3" w:val="clear"/>
            <w:tcMar>
              <w:top w:type="dxa" w:w="60"/>
              <w:left w:type="dxa" w:w="100"/>
              <w:bottom w:type="dxa" w:w="60"/>
              <w:right w:type="dxa" w:w="100"/>
            </w:tcMar>
          </w:tcPr>
          <w:p>
            <w:pPr>
              <w:jc w:val="center"/>
            </w:pPr>
            <w:r>
              <w:rPr>
                <w:b/>
                <w:bCs/>
              </w:rPr>
              <w:t xml:space="preserve">AUC (pooled)</w:t>
            </w:r>
          </w:p>
        </w:tc>
      </w:tr>
      <w:tr>
        <w:tc>
          <w:tcPr>
            <w:tcW w:type="dxa" w:w="2800"/>
            <w:tcMar>
              <w:top w:type="dxa" w:w="60"/>
              <w:left w:type="dxa" w:w="100"/>
              <w:bottom w:type="dxa" w:w="60"/>
              <w:right w:type="dxa" w:w="100"/>
            </w:tcMar>
          </w:tcPr>
          <w:p>
            <w:pPr>
              <w:jc w:val="center"/>
            </w:pPr>
            <w:r>
              <w:rPr>
                <w:b w:val="false"/>
                <w:bCs w:val="false"/>
              </w:rPr>
              <w:t xml:space="preserve">ViT-Base/16</w:t>
            </w:r>
          </w:p>
        </w:tc>
        <w:tc>
          <w:tcPr>
            <w:tcW w:type="dxa" w:w="1800"/>
            <w:tcMar>
              <w:top w:type="dxa" w:w="60"/>
              <w:left w:type="dxa" w:w="100"/>
              <w:bottom w:type="dxa" w:w="60"/>
              <w:right w:type="dxa" w:w="100"/>
            </w:tcMar>
          </w:tcPr>
          <w:p>
            <w:pPr>
              <w:jc w:val="center"/>
            </w:pPr>
            <w:r>
              <w:rPr>
                <w:b w:val="false"/>
                <w:bCs w:val="false"/>
              </w:rPr>
              <w:t xml:space="preserve">Trucha</w:t>
            </w:r>
          </w:p>
        </w:tc>
        <w:tc>
          <w:tcPr>
            <w:tcW w:type="dxa" w:w="2400"/>
            <w:tcMar>
              <w:top w:type="dxa" w:w="60"/>
              <w:left w:type="dxa" w:w="100"/>
              <w:bottom w:type="dxa" w:w="60"/>
              <w:right w:type="dxa" w:w="100"/>
            </w:tcMar>
          </w:tcPr>
          <w:p>
            <w:pPr>
              <w:jc w:val="center"/>
            </w:pPr>
            <w:r>
              <w:rPr>
                <w:b w:val="false"/>
                <w:bCs w:val="false"/>
              </w:rPr>
              <w:t xml:space="preserve">86.18</w:t>
            </w:r>
          </w:p>
        </w:tc>
        <w:tc>
          <w:tcPr>
            <w:tcW w:type="dxa" w:w="2400"/>
            <w:tcMar>
              <w:top w:type="dxa" w:w="60"/>
              <w:left w:type="dxa" w:w="100"/>
              <w:bottom w:type="dxa" w:w="60"/>
              <w:right w:type="dxa" w:w="100"/>
            </w:tcMar>
          </w:tcPr>
          <w:p>
            <w:pPr>
              <w:jc w:val="center"/>
            </w:pPr>
            <w:r>
              <w:rPr>
                <w:b w:val="false"/>
                <w:bCs w:val="false"/>
              </w:rPr>
              <w:t xml:space="preserve">86.87</w:t>
            </w:r>
          </w:p>
        </w:tc>
        <w:tc>
          <w:tcPr>
            <w:tcW w:type="dxa" w:w="1800"/>
            <w:tcMar>
              <w:top w:type="dxa" w:w="60"/>
              <w:left w:type="dxa" w:w="100"/>
              <w:bottom w:type="dxa" w:w="60"/>
              <w:right w:type="dxa" w:w="100"/>
            </w:tcMar>
          </w:tcPr>
          <w:p>
            <w:pPr>
              <w:jc w:val="center"/>
            </w:pPr>
            <w:r>
              <w:rPr>
                <w:b w:val="false"/>
                <w:bCs w:val="false"/>
              </w:rPr>
              <w:t xml:space="preserve">0.9197</w:t>
            </w:r>
          </w:p>
        </w:tc>
      </w:tr>
      <w:tr>
        <w:tc>
          <w:tcPr>
            <w:tcW w:type="dxa" w:w="2800"/>
            <w:tcMar>
              <w:top w:type="dxa" w:w="60"/>
              <w:left w:type="dxa" w:w="100"/>
              <w:bottom w:type="dxa" w:w="60"/>
              <w:right w:type="dxa" w:w="100"/>
            </w:tcMar>
          </w:tcPr>
          <w:p>
            <w:pPr>
              <w:jc w:val="center"/>
            </w:pPr>
            <w:r>
              <w:rPr>
                <w:b w:val="false"/>
                <w:bCs w:val="false"/>
              </w:rPr>
              <w:t xml:space="preserve">DenseNet-121</w:t>
            </w:r>
          </w:p>
        </w:tc>
        <w:tc>
          <w:tcPr>
            <w:tcW w:type="dxa" w:w="1800"/>
            <w:tcMar>
              <w:top w:type="dxa" w:w="60"/>
              <w:left w:type="dxa" w:w="100"/>
              <w:bottom w:type="dxa" w:w="60"/>
              <w:right w:type="dxa" w:w="100"/>
            </w:tcMar>
          </w:tcPr>
          <w:p>
            <w:pPr>
              <w:jc w:val="center"/>
            </w:pPr>
            <w:r>
              <w:rPr>
                <w:b w:val="false"/>
                <w:bCs w:val="false"/>
              </w:rPr>
              <w:t xml:space="preserve">Trucha</w:t>
            </w:r>
          </w:p>
        </w:tc>
        <w:tc>
          <w:tcPr>
            <w:tcW w:type="dxa" w:w="2400"/>
            <w:tcMar>
              <w:top w:type="dxa" w:w="60"/>
              <w:left w:type="dxa" w:w="100"/>
              <w:bottom w:type="dxa" w:w="60"/>
              <w:right w:type="dxa" w:w="100"/>
            </w:tcMar>
          </w:tcPr>
          <w:p>
            <w:pPr>
              <w:jc w:val="center"/>
            </w:pPr>
            <w:r>
              <w:rPr>
                <w:b w:val="false"/>
                <w:bCs w:val="false"/>
              </w:rPr>
              <w:t xml:space="preserve">80.80</w:t>
            </w:r>
          </w:p>
        </w:tc>
        <w:tc>
          <w:tcPr>
            <w:tcW w:type="dxa" w:w="2400"/>
            <w:tcMar>
              <w:top w:type="dxa" w:w="60"/>
              <w:left w:type="dxa" w:w="100"/>
              <w:bottom w:type="dxa" w:w="60"/>
              <w:right w:type="dxa" w:w="100"/>
            </w:tcMar>
          </w:tcPr>
          <w:p>
            <w:pPr>
              <w:jc w:val="center"/>
            </w:pPr>
            <w:r>
              <w:rPr>
                <w:b w:val="false"/>
                <w:bCs w:val="false"/>
              </w:rPr>
              <w:t xml:space="preserve">82.00</w:t>
            </w:r>
          </w:p>
        </w:tc>
        <w:tc>
          <w:tcPr>
            <w:tcW w:type="dxa" w:w="1800"/>
            <w:tcMar>
              <w:top w:type="dxa" w:w="60"/>
              <w:left w:type="dxa" w:w="100"/>
              <w:bottom w:type="dxa" w:w="60"/>
              <w:right w:type="dxa" w:w="100"/>
            </w:tcMar>
          </w:tcPr>
          <w:p>
            <w:pPr>
              <w:jc w:val="center"/>
            </w:pPr>
            <w:r>
              <w:rPr>
                <w:b w:val="false"/>
                <w:bCs w:val="false"/>
              </w:rPr>
              <w:t xml:space="preserve">0.8973</w:t>
            </w:r>
          </w:p>
        </w:tc>
      </w:tr>
      <w:tr>
        <w:tc>
          <w:tcPr>
            <w:tcW w:type="dxa" w:w="2800"/>
            <w:tcMar>
              <w:top w:type="dxa" w:w="60"/>
              <w:left w:type="dxa" w:w="100"/>
              <w:bottom w:type="dxa" w:w="60"/>
              <w:right w:type="dxa" w:w="100"/>
            </w:tcMar>
          </w:tcPr>
          <w:p>
            <w:pPr>
              <w:jc w:val="center"/>
            </w:pPr>
            <w:r>
              <w:rPr>
                <w:b w:val="false"/>
                <w:bCs w:val="false"/>
              </w:rPr>
              <w:t xml:space="preserve">ViT-Base/16</w:t>
            </w:r>
          </w:p>
        </w:tc>
        <w:tc>
          <w:tcPr>
            <w:tcW w:type="dxa" w:w="1800"/>
            <w:tcMar>
              <w:top w:type="dxa" w:w="60"/>
              <w:left w:type="dxa" w:w="100"/>
              <w:bottom w:type="dxa" w:w="60"/>
              <w:right w:type="dxa" w:w="100"/>
            </w:tcMar>
          </w:tcPr>
          <w:p>
            <w:pPr>
              <w:jc w:val="center"/>
            </w:pPr>
            <w:r>
              <w:rPr>
                <w:b w:val="false"/>
                <w:bCs w:val="false"/>
              </w:rPr>
              <w:t xml:space="preserve">Rohu</w:t>
            </w:r>
          </w:p>
        </w:tc>
        <w:tc>
          <w:tcPr>
            <w:tcW w:type="dxa" w:w="2400"/>
            <w:tcMar>
              <w:top w:type="dxa" w:w="60"/>
              <w:left w:type="dxa" w:w="100"/>
              <w:bottom w:type="dxa" w:w="60"/>
              <w:right w:type="dxa" w:w="100"/>
            </w:tcMar>
          </w:tcPr>
          <w:p>
            <w:pPr>
              <w:jc w:val="center"/>
            </w:pPr>
            <w:r>
              <w:rPr>
                <w:b w:val="false"/>
                <w:bCs w:val="false"/>
              </w:rPr>
              <w:t xml:space="preserve">87.67</w:t>
            </w:r>
          </w:p>
        </w:tc>
        <w:tc>
          <w:tcPr>
            <w:tcW w:type="dxa" w:w="2400"/>
            <w:tcMar>
              <w:top w:type="dxa" w:w="60"/>
              <w:left w:type="dxa" w:w="100"/>
              <w:bottom w:type="dxa" w:w="60"/>
              <w:right w:type="dxa" w:w="100"/>
            </w:tcMar>
          </w:tcPr>
          <w:p>
            <w:pPr>
              <w:jc w:val="center"/>
            </w:pPr>
            <w:r>
              <w:rPr>
                <w:b w:val="false"/>
                <w:bCs w:val="false"/>
              </w:rPr>
              <w:t xml:space="preserve">89.45</w:t>
            </w:r>
          </w:p>
        </w:tc>
        <w:tc>
          <w:tcPr>
            <w:tcW w:type="dxa" w:w="1800"/>
            <w:tcMar>
              <w:top w:type="dxa" w:w="60"/>
              <w:left w:type="dxa" w:w="100"/>
              <w:bottom w:type="dxa" w:w="60"/>
              <w:right w:type="dxa" w:w="100"/>
            </w:tcMar>
          </w:tcPr>
          <w:p>
            <w:pPr>
              <w:jc w:val="center"/>
            </w:pPr>
            <w:r>
              <w:rPr>
                <w:b w:val="false"/>
                <w:bCs w:val="false"/>
              </w:rPr>
              <w:t xml:space="preserve">0.9514</w:t>
            </w:r>
          </w:p>
        </w:tc>
      </w:tr>
      <w:tr>
        <w:tc>
          <w:tcPr>
            <w:tcW w:type="dxa" w:w="2800"/>
            <w:tcMar>
              <w:top w:type="dxa" w:w="60"/>
              <w:left w:type="dxa" w:w="100"/>
              <w:bottom w:type="dxa" w:w="60"/>
              <w:right w:type="dxa" w:w="100"/>
            </w:tcMar>
          </w:tcPr>
          <w:p>
            <w:pPr>
              <w:jc w:val="center"/>
            </w:pPr>
            <w:r>
              <w:rPr>
                <w:b w:val="false"/>
                <w:bCs w:val="false"/>
              </w:rPr>
              <w:t xml:space="preserve">DenseNet-121</w:t>
            </w:r>
          </w:p>
        </w:tc>
        <w:tc>
          <w:tcPr>
            <w:tcW w:type="dxa" w:w="1800"/>
            <w:tcMar>
              <w:top w:type="dxa" w:w="60"/>
              <w:left w:type="dxa" w:w="100"/>
              <w:bottom w:type="dxa" w:w="60"/>
              <w:right w:type="dxa" w:w="100"/>
            </w:tcMar>
          </w:tcPr>
          <w:p>
            <w:pPr>
              <w:jc w:val="center"/>
            </w:pPr>
            <w:r>
              <w:rPr>
                <w:b w:val="false"/>
                <w:bCs w:val="false"/>
              </w:rPr>
              <w:t xml:space="preserve">Rohu</w:t>
            </w:r>
          </w:p>
        </w:tc>
        <w:tc>
          <w:tcPr>
            <w:tcW w:type="dxa" w:w="2400"/>
            <w:tcMar>
              <w:top w:type="dxa" w:w="60"/>
              <w:left w:type="dxa" w:w="100"/>
              <w:bottom w:type="dxa" w:w="60"/>
              <w:right w:type="dxa" w:w="100"/>
            </w:tcMar>
          </w:tcPr>
          <w:p>
            <w:pPr>
              <w:jc w:val="center"/>
            </w:pPr>
            <w:r>
              <w:rPr>
                <w:b w:val="false"/>
                <w:bCs w:val="false"/>
              </w:rPr>
              <w:t xml:space="preserve">83.01</w:t>
            </w:r>
          </w:p>
        </w:tc>
        <w:tc>
          <w:tcPr>
            <w:tcW w:type="dxa" w:w="2400"/>
            <w:tcMar>
              <w:top w:type="dxa" w:w="60"/>
              <w:left w:type="dxa" w:w="100"/>
              <w:bottom w:type="dxa" w:w="60"/>
              <w:right w:type="dxa" w:w="100"/>
            </w:tcMar>
          </w:tcPr>
          <w:p>
            <w:pPr>
              <w:jc w:val="center"/>
            </w:pPr>
            <w:r>
              <w:rPr>
                <w:b w:val="false"/>
                <w:bCs w:val="false"/>
              </w:rPr>
              <w:t xml:space="preserve">85.57</w:t>
            </w:r>
          </w:p>
        </w:tc>
        <w:tc>
          <w:tcPr>
            <w:tcW w:type="dxa" w:w="1800"/>
            <w:tcMar>
              <w:top w:type="dxa" w:w="60"/>
              <w:left w:type="dxa" w:w="100"/>
              <w:bottom w:type="dxa" w:w="60"/>
              <w:right w:type="dxa" w:w="100"/>
            </w:tcMar>
          </w:tcPr>
          <w:p>
            <w:pPr>
              <w:jc w:val="center"/>
            </w:pPr>
            <w:r>
              <w:rPr>
                <w:b w:val="false"/>
                <w:bCs w:val="false"/>
              </w:rPr>
              <w:t xml:space="preserve">0.9140</w:t>
            </w:r>
          </w:p>
        </w:tc>
      </w:tr>
    </w:tbl>
    <w:p>
      <w:pPr>
        <w:spacing w:after="100"/>
      </w:pPr>
      <w:r>
        <w:t xml:space="preserve">Nota: los valores pooled provienen de la corrida de matrices de confusión y ROC (linear_probe_confmat_roc.py, misma configuración, reentrenada), por eso difieren levemente del F1 oficial. F1 macro oficial (media de 5 folds, 3_resultados/): ViT-Base/16 — Trucha 86.11, Rohu 88.17; DenseNet-121 — Trucha 80.88, Rohu 82.85.</w:t>
      </w:r>
    </w:p>
    <w:p>
      <w:pPr>
        <w:pStyle w:val="Heading2"/>
        <w:spacing w:after="90" w:before="180"/>
      </w:pPr>
      <w:r>
        <w:t xml:space="preserve">3.2 Indicadores de robustez — Sin augmentación x2 (fórmulas en 2.4; calculados con el F1 oficial, media de 5 folds)</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2000"/>
        <w:gridCol w:w="1800"/>
        <w:gridCol w:w="3400"/>
      </w:tblGrid>
      <w:tr>
        <w:trPr>
          <w:tblHeader/>
        </w:trPr>
        <w:tc>
          <w:tcPr>
            <w:tcW w:type="dxa" w:w="3400"/>
            <w:shd w:fill="D9E2F3" w:val="clear"/>
            <w:tcMar>
              <w:top w:type="dxa" w:w="60"/>
              <w:left w:type="dxa" w:w="100"/>
              <w:bottom w:type="dxa" w:w="60"/>
              <w:right w:type="dxa" w:w="100"/>
            </w:tcMar>
          </w:tcPr>
          <w:p>
            <w:pPr>
              <w:jc w:val="center"/>
            </w:pPr>
            <w:r>
              <w:rPr>
                <w:b/>
                <w:bCs/>
              </w:rPr>
              <w:t xml:space="preserve">Modelo</w:t>
            </w:r>
          </w:p>
        </w:tc>
        <w:tc>
          <w:tcPr>
            <w:tcW w:type="dxa" w:w="1800"/>
            <w:shd w:fill="D9E2F3" w:val="clear"/>
            <w:tcMar>
              <w:top w:type="dxa" w:w="60"/>
              <w:left w:type="dxa" w:w="100"/>
              <w:bottom w:type="dxa" w:w="60"/>
              <w:right w:type="dxa" w:w="100"/>
            </w:tcMar>
          </w:tcPr>
          <w:p>
            <w:pPr>
              <w:jc w:val="center"/>
            </w:pPr>
            <w:r>
              <w:rPr>
                <w:b/>
                <w:bCs/>
              </w:rPr>
              <w:t xml:space="preserve">Dominio</w:t>
            </w:r>
          </w:p>
        </w:tc>
        <w:tc>
          <w:tcPr>
            <w:tcW w:type="dxa" w:w="2000"/>
            <w:shd w:fill="D9E2F3" w:val="clear"/>
            <w:tcMar>
              <w:top w:type="dxa" w:w="60"/>
              <w:left w:type="dxa" w:w="100"/>
              <w:bottom w:type="dxa" w:w="60"/>
              <w:right w:type="dxa" w:w="100"/>
            </w:tcMar>
          </w:tcPr>
          <w:p>
            <w:pPr>
              <w:jc w:val="center"/>
            </w:pPr>
            <w:r>
              <w:rPr>
                <w:b/>
                <w:bCs/>
              </w:rPr>
              <w:t xml:space="preserve">TRD (%)</w:t>
            </w:r>
          </w:p>
        </w:tc>
        <w:tc>
          <w:tcPr>
            <w:tcW w:type="dxa" w:w="1800"/>
            <w:shd w:fill="D9E2F3" w:val="clear"/>
            <w:tcMar>
              <w:top w:type="dxa" w:w="60"/>
              <w:left w:type="dxa" w:w="100"/>
              <w:bottom w:type="dxa" w:w="60"/>
              <w:right w:type="dxa" w:w="100"/>
            </w:tcMar>
          </w:tcPr>
          <w:p>
            <w:pPr>
              <w:jc w:val="center"/>
            </w:pPr>
            <w:r>
              <w:rPr>
                <w:b/>
                <w:bCs/>
              </w:rPr>
              <w:t xml:space="preserve">Gap</w:t>
            </w:r>
          </w:p>
        </w:tc>
        <w:tc>
          <w:tcPr>
            <w:tcW w:type="dxa" w:w="3400"/>
            <w:shd w:fill="D9E2F3" w:val="clear"/>
            <w:tcMar>
              <w:top w:type="dxa" w:w="60"/>
              <w:left w:type="dxa" w:w="100"/>
              <w:bottom w:type="dxa" w:w="60"/>
              <w:right w:type="dxa" w:w="100"/>
            </w:tcMar>
          </w:tcPr>
          <w:p>
            <w:pPr>
              <w:jc w:val="center"/>
            </w:pPr>
            <w:r>
              <w:rPr>
                <w:b/>
                <w:bCs/>
              </w:rPr>
              <w:t xml:space="preserve">RBE vs. DenseNet-121 (%)</w:t>
            </w:r>
          </w:p>
        </w:tc>
      </w:tr>
      <w:tr>
        <w:tc>
          <w:tcPr>
            <w:tcW w:type="dxa" w:w="3400"/>
            <w:tcMar>
              <w:top w:type="dxa" w:w="60"/>
              <w:left w:type="dxa" w:w="100"/>
              <w:bottom w:type="dxa" w:w="60"/>
              <w:right w:type="dxa" w:w="100"/>
            </w:tcMar>
          </w:tcPr>
          <w:p>
            <w:pPr>
              <w:jc w:val="center"/>
            </w:pPr>
            <w:r>
              <w:rPr>
                <w:b w:val="false"/>
                <w:bCs w:val="false"/>
              </w:rPr>
              <w:t xml:space="preserve">ViT-Base/16</w:t>
            </w:r>
          </w:p>
        </w:tc>
        <w:tc>
          <w:tcPr>
            <w:tcW w:type="dxa" w:w="1800"/>
            <w:tcMar>
              <w:top w:type="dxa" w:w="60"/>
              <w:left w:type="dxa" w:w="100"/>
              <w:bottom w:type="dxa" w:w="60"/>
              <w:right w:type="dxa" w:w="100"/>
            </w:tcMar>
          </w:tcPr>
          <w:p>
            <w:pPr>
              <w:jc w:val="center"/>
            </w:pPr>
            <w:r>
              <w:rPr>
                <w:b w:val="false"/>
                <w:bCs w:val="false"/>
              </w:rPr>
              <w:t xml:space="preserve">Trucha</w:t>
            </w:r>
          </w:p>
        </w:tc>
        <w:tc>
          <w:tcPr>
            <w:tcW w:type="dxa" w:w="2000"/>
            <w:tcMar>
              <w:top w:type="dxa" w:w="60"/>
              <w:left w:type="dxa" w:w="100"/>
              <w:bottom w:type="dxa" w:w="60"/>
              <w:right w:type="dxa" w:w="100"/>
            </w:tcMar>
          </w:tcPr>
          <w:p>
            <w:pPr>
              <w:jc w:val="center"/>
            </w:pPr>
            <w:r>
              <w:rPr>
                <w:b w:val="false"/>
                <w:bCs w:val="false"/>
              </w:rPr>
              <w:t xml:space="preserve">88.81</w:t>
            </w:r>
          </w:p>
        </w:tc>
        <w:tc>
          <w:tcPr>
            <w:tcW w:type="dxa" w:w="1800"/>
            <w:tcMar>
              <w:top w:type="dxa" w:w="60"/>
              <w:left w:type="dxa" w:w="100"/>
              <w:bottom w:type="dxa" w:w="60"/>
              <w:right w:type="dxa" w:w="100"/>
            </w:tcMar>
          </w:tcPr>
          <w:p>
            <w:pPr>
              <w:jc w:val="center"/>
            </w:pPr>
            <w:r>
              <w:rPr>
                <w:b w:val="false"/>
                <w:bCs w:val="false"/>
              </w:rPr>
              <w:t xml:space="preserve">0.1085</w:t>
            </w:r>
          </w:p>
        </w:tc>
        <w:tc>
          <w:tcPr>
            <w:tcW w:type="dxa" w:w="3400"/>
            <w:tcMar>
              <w:top w:type="dxa" w:w="60"/>
              <w:left w:type="dxa" w:w="100"/>
              <w:bottom w:type="dxa" w:w="60"/>
              <w:right w:type="dxa" w:w="100"/>
            </w:tcMar>
          </w:tcPr>
          <w:p>
            <w:pPr>
              <w:jc w:val="center"/>
            </w:pPr>
            <w:r>
              <w:rPr>
                <w:b w:val="false"/>
                <w:bCs w:val="false"/>
              </w:rPr>
              <w:t xml:space="preserve">26.59</w:t>
            </w:r>
          </w:p>
        </w:tc>
      </w:tr>
      <w:tr>
        <w:tc>
          <w:tcPr>
            <w:tcW w:type="dxa" w:w="3400"/>
            <w:tcMar>
              <w:top w:type="dxa" w:w="60"/>
              <w:left w:type="dxa" w:w="100"/>
              <w:bottom w:type="dxa" w:w="60"/>
              <w:right w:type="dxa" w:w="100"/>
            </w:tcMar>
          </w:tcPr>
          <w:p>
            <w:pPr>
              <w:jc w:val="center"/>
            </w:pPr>
            <w:r>
              <w:rPr>
                <w:b w:val="false"/>
                <w:bCs w:val="false"/>
              </w:rPr>
              <w:t xml:space="preserve">DenseNet-121 (baseline)</w:t>
            </w:r>
          </w:p>
        </w:tc>
        <w:tc>
          <w:tcPr>
            <w:tcW w:type="dxa" w:w="1800"/>
            <w:tcMar>
              <w:top w:type="dxa" w:w="60"/>
              <w:left w:type="dxa" w:w="100"/>
              <w:bottom w:type="dxa" w:w="60"/>
              <w:right w:type="dxa" w:w="100"/>
            </w:tcMar>
          </w:tcPr>
          <w:p>
            <w:pPr>
              <w:jc w:val="center"/>
            </w:pPr>
            <w:r>
              <w:rPr>
                <w:b w:val="false"/>
                <w:bCs w:val="false"/>
              </w:rPr>
              <w:t xml:space="preserve">Trucha</w:t>
            </w:r>
          </w:p>
        </w:tc>
        <w:tc>
          <w:tcPr>
            <w:tcW w:type="dxa" w:w="2000"/>
            <w:tcMar>
              <w:top w:type="dxa" w:w="60"/>
              <w:left w:type="dxa" w:w="100"/>
              <w:bottom w:type="dxa" w:w="60"/>
              <w:right w:type="dxa" w:w="100"/>
            </w:tcMar>
          </w:tcPr>
          <w:p>
            <w:pPr>
              <w:jc w:val="center"/>
            </w:pPr>
            <w:r>
              <w:rPr>
                <w:b w:val="false"/>
                <w:bCs w:val="false"/>
              </w:rPr>
              <w:t xml:space="preserve">84.55</w:t>
            </w:r>
          </w:p>
        </w:tc>
        <w:tc>
          <w:tcPr>
            <w:tcW w:type="dxa" w:w="1800"/>
            <w:tcMar>
              <w:top w:type="dxa" w:w="60"/>
              <w:left w:type="dxa" w:w="100"/>
              <w:bottom w:type="dxa" w:w="60"/>
              <w:right w:type="dxa" w:w="100"/>
            </w:tcMar>
          </w:tcPr>
          <w:p>
            <w:pPr>
              <w:jc w:val="center"/>
            </w:pPr>
            <w:r>
              <w:rPr>
                <w:b w:val="false"/>
                <w:bCs w:val="false"/>
              </w:rPr>
              <w:t xml:space="preserve">0.1478</w:t>
            </w:r>
          </w:p>
        </w:tc>
        <w:tc>
          <w:tcPr>
            <w:tcW w:type="dxa" w:w="3400"/>
            <w:tcMar>
              <w:top w:type="dxa" w:w="60"/>
              <w:left w:type="dxa" w:w="100"/>
              <w:bottom w:type="dxa" w:w="60"/>
              <w:right w:type="dxa" w:w="100"/>
            </w:tcMar>
          </w:tcPr>
          <w:p>
            <w:pPr>
              <w:jc w:val="center"/>
            </w:pPr>
            <w:r>
              <w:rPr>
                <w:b w:val="false"/>
                <w:bCs w:val="false"/>
              </w:rPr>
              <w:t xml:space="preserve">0.00</w:t>
            </w:r>
          </w:p>
        </w:tc>
      </w:tr>
      <w:tr>
        <w:tc>
          <w:tcPr>
            <w:tcW w:type="dxa" w:w="3400"/>
            <w:tcMar>
              <w:top w:type="dxa" w:w="60"/>
              <w:left w:type="dxa" w:w="100"/>
              <w:bottom w:type="dxa" w:w="60"/>
              <w:right w:type="dxa" w:w="100"/>
            </w:tcMar>
          </w:tcPr>
          <w:p>
            <w:pPr>
              <w:jc w:val="center"/>
            </w:pPr>
            <w:r>
              <w:rPr>
                <w:b w:val="false"/>
                <w:bCs w:val="false"/>
              </w:rPr>
              <w:t xml:space="preserve">ViT-Base/16</w:t>
            </w:r>
          </w:p>
        </w:tc>
        <w:tc>
          <w:tcPr>
            <w:tcW w:type="dxa" w:w="1800"/>
            <w:tcMar>
              <w:top w:type="dxa" w:w="60"/>
              <w:left w:type="dxa" w:w="100"/>
              <w:bottom w:type="dxa" w:w="60"/>
              <w:right w:type="dxa" w:w="100"/>
            </w:tcMar>
          </w:tcPr>
          <w:p>
            <w:pPr>
              <w:jc w:val="center"/>
            </w:pPr>
            <w:r>
              <w:rPr>
                <w:b w:val="false"/>
                <w:bCs w:val="false"/>
              </w:rPr>
              <w:t xml:space="preserve">Rohu</w:t>
            </w:r>
          </w:p>
        </w:tc>
        <w:tc>
          <w:tcPr>
            <w:tcW w:type="dxa" w:w="2000"/>
            <w:tcMar>
              <w:top w:type="dxa" w:w="60"/>
              <w:left w:type="dxa" w:w="100"/>
              <w:bottom w:type="dxa" w:w="60"/>
              <w:right w:type="dxa" w:w="100"/>
            </w:tcMar>
          </w:tcPr>
          <w:p>
            <w:pPr>
              <w:jc w:val="center"/>
            </w:pPr>
            <w:r>
              <w:rPr>
                <w:b w:val="false"/>
                <w:bCs w:val="false"/>
              </w:rPr>
              <w:t xml:space="preserve">90.93</w:t>
            </w:r>
          </w:p>
        </w:tc>
        <w:tc>
          <w:tcPr>
            <w:tcW w:type="dxa" w:w="1800"/>
            <w:tcMar>
              <w:top w:type="dxa" w:w="60"/>
              <w:left w:type="dxa" w:w="100"/>
              <w:bottom w:type="dxa" w:w="60"/>
              <w:right w:type="dxa" w:w="100"/>
            </w:tcMar>
          </w:tcPr>
          <w:p>
            <w:pPr>
              <w:jc w:val="center"/>
            </w:pPr>
            <w:r>
              <w:rPr>
                <w:b w:val="false"/>
                <w:bCs w:val="false"/>
              </w:rPr>
              <w:t xml:space="preserve">0.0879</w:t>
            </w:r>
          </w:p>
        </w:tc>
        <w:tc>
          <w:tcPr>
            <w:tcW w:type="dxa" w:w="3400"/>
            <w:tcMar>
              <w:top w:type="dxa" w:w="60"/>
              <w:left w:type="dxa" w:w="100"/>
              <w:bottom w:type="dxa" w:w="60"/>
              <w:right w:type="dxa" w:w="100"/>
            </w:tcMar>
          </w:tcPr>
          <w:p>
            <w:pPr>
              <w:jc w:val="center"/>
            </w:pPr>
            <w:r>
              <w:rPr>
                <w:b w:val="false"/>
                <w:bCs w:val="false"/>
              </w:rPr>
              <w:t xml:space="preserve">31.38</w:t>
            </w:r>
          </w:p>
        </w:tc>
      </w:tr>
      <w:tr>
        <w:tc>
          <w:tcPr>
            <w:tcW w:type="dxa" w:w="3400"/>
            <w:tcMar>
              <w:top w:type="dxa" w:w="60"/>
              <w:left w:type="dxa" w:w="100"/>
              <w:bottom w:type="dxa" w:w="60"/>
              <w:right w:type="dxa" w:w="100"/>
            </w:tcMar>
          </w:tcPr>
          <w:p>
            <w:pPr>
              <w:jc w:val="center"/>
            </w:pPr>
            <w:r>
              <w:rPr>
                <w:b w:val="false"/>
                <w:bCs w:val="false"/>
              </w:rPr>
              <w:t xml:space="preserve">DenseNet-121 (baseline)</w:t>
            </w:r>
          </w:p>
        </w:tc>
        <w:tc>
          <w:tcPr>
            <w:tcW w:type="dxa" w:w="1800"/>
            <w:tcMar>
              <w:top w:type="dxa" w:w="60"/>
              <w:left w:type="dxa" w:w="100"/>
              <w:bottom w:type="dxa" w:w="60"/>
              <w:right w:type="dxa" w:w="100"/>
            </w:tcMar>
          </w:tcPr>
          <w:p>
            <w:pPr>
              <w:jc w:val="center"/>
            </w:pPr>
            <w:r>
              <w:rPr>
                <w:b w:val="false"/>
                <w:bCs w:val="false"/>
              </w:rPr>
              <w:t xml:space="preserve">Rohu</w:t>
            </w:r>
          </w:p>
        </w:tc>
        <w:tc>
          <w:tcPr>
            <w:tcW w:type="dxa" w:w="2000"/>
            <w:tcMar>
              <w:top w:type="dxa" w:w="60"/>
              <w:left w:type="dxa" w:w="100"/>
              <w:bottom w:type="dxa" w:w="60"/>
              <w:right w:type="dxa" w:w="100"/>
            </w:tcMar>
          </w:tcPr>
          <w:p>
            <w:pPr>
              <w:jc w:val="center"/>
            </w:pPr>
            <w:r>
              <w:rPr>
                <w:b w:val="false"/>
                <w:bCs w:val="false"/>
              </w:rPr>
              <w:t xml:space="preserve">86.61</w:t>
            </w:r>
          </w:p>
        </w:tc>
        <w:tc>
          <w:tcPr>
            <w:tcW w:type="dxa" w:w="1800"/>
            <w:tcMar>
              <w:top w:type="dxa" w:w="60"/>
              <w:left w:type="dxa" w:w="100"/>
              <w:bottom w:type="dxa" w:w="60"/>
              <w:right w:type="dxa" w:w="100"/>
            </w:tcMar>
          </w:tcPr>
          <w:p>
            <w:pPr>
              <w:jc w:val="center"/>
            </w:pPr>
            <w:r>
              <w:rPr>
                <w:b w:val="false"/>
                <w:bCs w:val="false"/>
              </w:rPr>
              <w:t xml:space="preserve">0.1281</w:t>
            </w:r>
          </w:p>
        </w:tc>
        <w:tc>
          <w:tcPr>
            <w:tcW w:type="dxa" w:w="3400"/>
            <w:tcMar>
              <w:top w:type="dxa" w:w="60"/>
              <w:left w:type="dxa" w:w="100"/>
              <w:bottom w:type="dxa" w:w="60"/>
              <w:right w:type="dxa" w:w="100"/>
            </w:tcMar>
          </w:tcPr>
          <w:p>
            <w:pPr>
              <w:jc w:val="center"/>
            </w:pPr>
            <w:r>
              <w:rPr>
                <w:b w:val="false"/>
                <w:bCs w:val="false"/>
              </w:rPr>
              <w:t xml:space="preserve">0.00</w:t>
            </w:r>
          </w:p>
        </w:tc>
      </w:tr>
    </w:tbl>
    <w:p>
      <w:pPr>
        <w:pStyle w:val="Heading2"/>
        <w:spacing w:after="90" w:before="180"/>
      </w:pPr>
      <w:r>
        <w:t xml:space="preserve">3.3 Lectura</w:t>
      </w:r>
    </w:p>
    <w:p>
      <w:pPr>
        <w:spacing w:after="100"/>
      </w:pPr>
      <w:r>
        <w:t xml:space="preserve">ViT-Base/16 rinde por encima de DenseNet-121 en los dos dominios, consistente con su desempeño en Mendeley (96.96 vs. 95.66).</w:t>
      </w:r>
    </w:p>
    <w:p>
      <w:pPr>
        <w:spacing w:after="100"/>
      </w:pPr>
      <w:r>
        <w:t xml:space="preserve">Rohu rinde por encima de Trucha en los 2 modelos.</w:t>
      </w:r>
    </w:p>
    <w:p>
      <w:pPr>
        <w:spacing w:after="100"/>
      </w:pPr>
      <w:r>
        <w:t xml:space="preserve">ViT-Base/16 retiene más desempeño que DenseNet-121 en ambos dominios (TRD más alto, Gap más chico) y su RBE es positivo — transfiere mejor que el baseline CNN. La ventaja de ViT es mayor en Rohu (RBE 31.38%) que en Trucha (RBE 26.59%).</w:t>
      </w:r>
    </w:p>
    <w:p>
      <w:pPr>
        <w:pStyle w:val="Heading1"/>
        <w:spacing w:after="120" w:before="240"/>
      </w:pPr>
      <w:r>
        <w:t xml:space="preserve">4. Detalle por modelo</w:t>
      </w:r>
    </w:p>
    <w:p>
      <w:pPr>
        <w:pStyle w:val="Heading2"/>
        <w:spacing w:after="90" w:before="180"/>
      </w:pPr>
      <w:r>
        <w:t xml:space="preserve">4.1. ViT-Base/16</w:t>
      </w:r>
    </w:p>
    <w:p>
      <w:pPr>
        <w:pStyle w:val="Heading3"/>
        <w:spacing w:after="70" w:before="140"/>
      </w:pPr>
      <w:r>
        <w:t xml:space="preserve">4.1.1 Trucha</w:t>
      </w:r>
    </w:p>
    <w:p>
      <w:pPr>
        <w:pStyle w:val="Heading4"/>
        <w:spacing w:after="60" w:before="120"/>
      </w:pPr>
      <w:r>
        <w:t xml:space="preserve">Sin augmentación x2 — F1 macro = 86.18   Accuracy = 86.87   AUC = 0.9197</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1800"/>
      </w:tblGrid>
      <w:tr>
        <w:trPr>
          <w:tblHeader/>
        </w:trPr>
        <w:tc>
          <w:tcPr>
            <w:tcW w:type="dxa" w:w="1400"/>
            <w:shd w:fill="D9E2F3" w:val="clear"/>
            <w:tcMar>
              <w:top w:type="dxa" w:w="60"/>
              <w:left w:type="dxa" w:w="100"/>
              <w:bottom w:type="dxa" w:w="60"/>
              <w:right w:type="dxa" w:w="100"/>
            </w:tcMar>
          </w:tcPr>
          <w:p>
            <w:pPr>
              <w:jc w:val="center"/>
            </w:pPr>
            <w:r>
              <w:rPr>
                <w:b/>
                <w:bCs/>
              </w:rPr>
              <w:t xml:space="preserve">Fold</w:t>
            </w:r>
          </w:p>
        </w:tc>
        <w:tc>
          <w:tcPr>
            <w:tcW w:type="dxa" w:w="1800"/>
            <w:shd w:fill="D9E2F3" w:val="clear"/>
            <w:tcMar>
              <w:top w:type="dxa" w:w="60"/>
              <w:left w:type="dxa" w:w="100"/>
              <w:bottom w:type="dxa" w:w="60"/>
              <w:right w:type="dxa" w:w="100"/>
            </w:tcMar>
          </w:tcPr>
          <w:p>
            <w:pPr>
              <w:jc w:val="center"/>
            </w:pPr>
            <w:r>
              <w:rPr>
                <w:b/>
                <w:bCs/>
              </w:rPr>
              <w:t xml:space="preserve">N</w:t>
            </w:r>
          </w:p>
        </w:tc>
        <w:tc>
          <w:tcPr>
            <w:tcW w:type="dxa" w:w="1800"/>
            <w:shd w:fill="D9E2F3" w:val="clear"/>
            <w:tcMar>
              <w:top w:type="dxa" w:w="60"/>
              <w:left w:type="dxa" w:w="100"/>
              <w:bottom w:type="dxa" w:w="60"/>
              <w:right w:type="dxa" w:w="100"/>
            </w:tcMar>
          </w:tcPr>
          <w:p>
            <w:pPr>
              <w:jc w:val="center"/>
            </w:pPr>
            <w:r>
              <w:rPr>
                <w:b/>
                <w:bCs/>
              </w:rPr>
              <w:t xml:space="preserve">F1</w:t>
            </w:r>
          </w:p>
        </w:tc>
        <w:tc>
          <w:tcPr>
            <w:tcW w:type="dxa" w:w="1800"/>
            <w:shd w:fill="D9E2F3" w:val="clear"/>
            <w:tcMar>
              <w:top w:type="dxa" w:w="60"/>
              <w:left w:type="dxa" w:w="100"/>
              <w:bottom w:type="dxa" w:w="60"/>
              <w:right w:type="dxa" w:w="100"/>
            </w:tcMar>
          </w:tcPr>
          <w:p>
            <w:pPr>
              <w:jc w:val="center"/>
            </w:pPr>
            <w:r>
              <w:rPr>
                <w:b/>
                <w:bCs/>
              </w:rPr>
              <w:t xml:space="preserve">Accuracy</w:t>
            </w:r>
          </w:p>
        </w:tc>
        <w:tc>
          <w:tcPr>
            <w:tcW w:type="dxa" w:w="1800"/>
            <w:shd w:fill="D9E2F3" w:val="clear"/>
            <w:tcMar>
              <w:top w:type="dxa" w:w="60"/>
              <w:left w:type="dxa" w:w="100"/>
              <w:bottom w:type="dxa" w:w="60"/>
              <w:right w:type="dxa" w:w="100"/>
            </w:tcMar>
          </w:tcPr>
          <w:p>
            <w:pPr>
              <w:jc w:val="center"/>
            </w:pPr>
            <w:r>
              <w:rPr>
                <w:b/>
                <w:bCs/>
              </w:rPr>
              <w:t xml:space="preserve">AUC</w:t>
            </w:r>
          </w:p>
        </w:tc>
      </w:tr>
      <w:tr>
        <w:tc>
          <w:tcPr>
            <w:tcW w:type="dxa" w:w="1400"/>
            <w:tcMar>
              <w:top w:type="dxa" w:w="60"/>
              <w:left w:type="dxa" w:w="100"/>
              <w:bottom w:type="dxa" w:w="60"/>
              <w:right w:type="dxa" w:w="100"/>
            </w:tcMar>
          </w:tcPr>
          <w:p>
            <w:pPr>
              <w:jc w:val="center"/>
            </w:pPr>
            <w:r>
              <w:rPr>
                <w:b w:val="false"/>
                <w:bCs w:val="false"/>
              </w:rPr>
              <w:t xml:space="preserve">1</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84.54</w:t>
            </w:r>
          </w:p>
        </w:tc>
        <w:tc>
          <w:tcPr>
            <w:tcW w:type="dxa" w:w="1800"/>
            <w:tcMar>
              <w:top w:type="dxa" w:w="60"/>
              <w:left w:type="dxa" w:w="100"/>
              <w:bottom w:type="dxa" w:w="60"/>
              <w:right w:type="dxa" w:w="100"/>
            </w:tcMar>
          </w:tcPr>
          <w:p>
            <w:pPr>
              <w:jc w:val="center"/>
            </w:pPr>
            <w:r>
              <w:rPr>
                <w:b w:val="false"/>
                <w:bCs w:val="false"/>
              </w:rPr>
              <w:t xml:space="preserve">85.22</w:t>
            </w:r>
          </w:p>
        </w:tc>
        <w:tc>
          <w:tcPr>
            <w:tcW w:type="dxa" w:w="1800"/>
            <w:tcMar>
              <w:top w:type="dxa" w:w="60"/>
              <w:left w:type="dxa" w:w="100"/>
              <w:bottom w:type="dxa" w:w="60"/>
              <w:right w:type="dxa" w:w="100"/>
            </w:tcMar>
          </w:tcPr>
          <w:p>
            <w:pPr>
              <w:jc w:val="center"/>
            </w:pPr>
            <w:r>
              <w:rPr>
                <w:b w:val="false"/>
                <w:bCs w:val="false"/>
              </w:rPr>
              <w:t xml:space="preserve">0.9095</w:t>
            </w:r>
          </w:p>
        </w:tc>
      </w:tr>
      <w:tr>
        <w:tc>
          <w:tcPr>
            <w:tcW w:type="dxa" w:w="1400"/>
            <w:tcMar>
              <w:top w:type="dxa" w:w="60"/>
              <w:left w:type="dxa" w:w="100"/>
              <w:bottom w:type="dxa" w:w="60"/>
              <w:right w:type="dxa" w:w="100"/>
            </w:tcMar>
          </w:tcPr>
          <w:p>
            <w:pPr>
              <w:jc w:val="center"/>
            </w:pPr>
            <w:r>
              <w:rPr>
                <w:b w:val="false"/>
                <w:bCs w:val="false"/>
              </w:rPr>
              <w:t xml:space="preserve">2</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86.84</w:t>
            </w:r>
          </w:p>
        </w:tc>
        <w:tc>
          <w:tcPr>
            <w:tcW w:type="dxa" w:w="1800"/>
            <w:tcMar>
              <w:top w:type="dxa" w:w="60"/>
              <w:left w:type="dxa" w:w="100"/>
              <w:bottom w:type="dxa" w:w="60"/>
              <w:right w:type="dxa" w:w="100"/>
            </w:tcMar>
          </w:tcPr>
          <w:p>
            <w:pPr>
              <w:jc w:val="center"/>
            </w:pPr>
            <w:r>
              <w:rPr>
                <w:b w:val="false"/>
                <w:bCs w:val="false"/>
              </w:rPr>
              <w:t xml:space="preserve">87.39</w:t>
            </w:r>
          </w:p>
        </w:tc>
        <w:tc>
          <w:tcPr>
            <w:tcW w:type="dxa" w:w="1800"/>
            <w:tcMar>
              <w:top w:type="dxa" w:w="60"/>
              <w:left w:type="dxa" w:w="100"/>
              <w:bottom w:type="dxa" w:w="60"/>
              <w:right w:type="dxa" w:w="100"/>
            </w:tcMar>
          </w:tcPr>
          <w:p>
            <w:pPr>
              <w:jc w:val="center"/>
            </w:pPr>
            <w:r>
              <w:rPr>
                <w:b w:val="false"/>
                <w:bCs w:val="false"/>
              </w:rPr>
              <w:t xml:space="preserve">0.9225</w:t>
            </w:r>
          </w:p>
        </w:tc>
      </w:tr>
      <w:tr>
        <w:tc>
          <w:tcPr>
            <w:tcW w:type="dxa" w:w="1400"/>
            <w:tcMar>
              <w:top w:type="dxa" w:w="60"/>
              <w:left w:type="dxa" w:w="100"/>
              <w:bottom w:type="dxa" w:w="60"/>
              <w:right w:type="dxa" w:w="100"/>
            </w:tcMar>
          </w:tcPr>
          <w:p>
            <w:pPr>
              <w:jc w:val="center"/>
            </w:pPr>
            <w:r>
              <w:rPr>
                <w:b w:val="false"/>
                <w:bCs w:val="false"/>
              </w:rPr>
              <w:t xml:space="preserve">3</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92.37</w:t>
            </w:r>
          </w:p>
        </w:tc>
        <w:tc>
          <w:tcPr>
            <w:tcW w:type="dxa" w:w="1800"/>
            <w:tcMar>
              <w:top w:type="dxa" w:w="60"/>
              <w:left w:type="dxa" w:w="100"/>
              <w:bottom w:type="dxa" w:w="60"/>
              <w:right w:type="dxa" w:w="100"/>
            </w:tcMar>
          </w:tcPr>
          <w:p>
            <w:pPr>
              <w:jc w:val="center"/>
            </w:pPr>
            <w:r>
              <w:rPr>
                <w:b w:val="false"/>
                <w:bCs w:val="false"/>
              </w:rPr>
              <w:t xml:space="preserve">92.61</w:t>
            </w:r>
          </w:p>
        </w:tc>
        <w:tc>
          <w:tcPr>
            <w:tcW w:type="dxa" w:w="1800"/>
            <w:tcMar>
              <w:top w:type="dxa" w:w="60"/>
              <w:left w:type="dxa" w:w="100"/>
              <w:bottom w:type="dxa" w:w="60"/>
              <w:right w:type="dxa" w:w="100"/>
            </w:tcMar>
          </w:tcPr>
          <w:p>
            <w:pPr>
              <w:jc w:val="center"/>
            </w:pPr>
            <w:r>
              <w:rPr>
                <w:b w:val="false"/>
                <w:bCs w:val="false"/>
              </w:rPr>
              <w:t xml:space="preserve">0.9585</w:t>
            </w:r>
          </w:p>
        </w:tc>
      </w:tr>
      <w:tr>
        <w:tc>
          <w:tcPr>
            <w:tcW w:type="dxa" w:w="1400"/>
            <w:tcMar>
              <w:top w:type="dxa" w:w="60"/>
              <w:left w:type="dxa" w:w="100"/>
              <w:bottom w:type="dxa" w:w="60"/>
              <w:right w:type="dxa" w:w="100"/>
            </w:tcMar>
          </w:tcPr>
          <w:p>
            <w:pPr>
              <w:jc w:val="center"/>
            </w:pPr>
            <w:r>
              <w:rPr>
                <w:b w:val="false"/>
                <w:bCs w:val="false"/>
              </w:rPr>
              <w:t xml:space="preserve">4</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83.12</w:t>
            </w:r>
          </w:p>
        </w:tc>
        <w:tc>
          <w:tcPr>
            <w:tcW w:type="dxa" w:w="1800"/>
            <w:tcMar>
              <w:top w:type="dxa" w:w="60"/>
              <w:left w:type="dxa" w:w="100"/>
              <w:bottom w:type="dxa" w:w="60"/>
              <w:right w:type="dxa" w:w="100"/>
            </w:tcMar>
          </w:tcPr>
          <w:p>
            <w:pPr>
              <w:jc w:val="center"/>
            </w:pPr>
            <w:r>
              <w:rPr>
                <w:b w:val="false"/>
                <w:bCs w:val="false"/>
              </w:rPr>
              <w:t xml:space="preserve">84.35</w:t>
            </w:r>
          </w:p>
        </w:tc>
        <w:tc>
          <w:tcPr>
            <w:tcW w:type="dxa" w:w="1800"/>
            <w:tcMar>
              <w:top w:type="dxa" w:w="60"/>
              <w:left w:type="dxa" w:w="100"/>
              <w:bottom w:type="dxa" w:w="60"/>
              <w:right w:type="dxa" w:w="100"/>
            </w:tcMar>
          </w:tcPr>
          <w:p>
            <w:pPr>
              <w:jc w:val="center"/>
            </w:pPr>
            <w:r>
              <w:rPr>
                <w:b w:val="false"/>
                <w:bCs w:val="false"/>
              </w:rPr>
              <w:t xml:space="preserve">0.8961</w:t>
            </w:r>
          </w:p>
        </w:tc>
      </w:tr>
      <w:tr>
        <w:tc>
          <w:tcPr>
            <w:tcW w:type="dxa" w:w="1400"/>
            <w:tcMar>
              <w:top w:type="dxa" w:w="60"/>
              <w:left w:type="dxa" w:w="100"/>
              <w:bottom w:type="dxa" w:w="60"/>
              <w:right w:type="dxa" w:w="100"/>
            </w:tcMar>
          </w:tcPr>
          <w:p>
            <w:pPr>
              <w:jc w:val="center"/>
            </w:pPr>
            <w:r>
              <w:rPr>
                <w:b w:val="false"/>
                <w:bCs w:val="false"/>
              </w:rPr>
              <w:t xml:space="preserve">5</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83.71</w:t>
            </w:r>
          </w:p>
        </w:tc>
        <w:tc>
          <w:tcPr>
            <w:tcW w:type="dxa" w:w="1800"/>
            <w:tcMar>
              <w:top w:type="dxa" w:w="60"/>
              <w:left w:type="dxa" w:w="100"/>
              <w:bottom w:type="dxa" w:w="60"/>
              <w:right w:type="dxa" w:w="100"/>
            </w:tcMar>
          </w:tcPr>
          <w:p>
            <w:pPr>
              <w:jc w:val="center"/>
            </w:pPr>
            <w:r>
              <w:rPr>
                <w:b w:val="false"/>
                <w:bCs w:val="false"/>
              </w:rPr>
              <w:t xml:space="preserve">84.78</w:t>
            </w:r>
          </w:p>
        </w:tc>
        <w:tc>
          <w:tcPr>
            <w:tcW w:type="dxa" w:w="1800"/>
            <w:tcMar>
              <w:top w:type="dxa" w:w="60"/>
              <w:left w:type="dxa" w:w="100"/>
              <w:bottom w:type="dxa" w:w="60"/>
              <w:right w:type="dxa" w:w="100"/>
            </w:tcMar>
          </w:tcPr>
          <w:p>
            <w:pPr>
              <w:jc w:val="center"/>
            </w:pPr>
            <w:r>
              <w:rPr>
                <w:b w:val="false"/>
                <w:bCs w:val="false"/>
              </w:rPr>
              <w:t xml:space="preserve">0.9334</w:t>
            </w:r>
          </w:p>
        </w:tc>
      </w:tr>
    </w:tbl>
    <w:p>
      <w:pPr>
        <w:spacing w:after="100"/>
      </w:pPr>
      <w:r>
        <w:rPr>
          <w:b/>
          <w:bCs/>
        </w:rPr>
        <w:t xml:space="preserve">Matriz de confusión pooled (TP=371, FP=41, FN=110, TN=628, N=1150):</w:t>
      </w:r>
    </w:p>
    <w:p>
      <w:pPr>
        <w:spacing w:after="100"/>
      </w:pPr>
      <w:r>
        <w:t xml:space="preserve">F1_fresco = 2×90.05×77.13/(90.05+77.13) = 83.09</w:t>
      </w:r>
    </w:p>
    <w:p>
      <w:pPr>
        <w:spacing w:after="100"/>
      </w:pPr>
      <w:r>
        <w:t xml:space="preserve">F1_no_fresco = 2×85.09×93.87/(85.09+93.87) = 89.27</w:t>
      </w:r>
    </w:p>
    <w:p>
      <w:pPr>
        <w:spacing w:after="100"/>
      </w:pPr>
      <w:r>
        <w:t xml:space="preserve">F1 macro = (83.09+89.27)/2 = 86.18   (valor guardado: 86.18)</w:t>
      </w:r>
    </w:p>
    <w:p>
      <w:pPr>
        <w:spacing w:after="100"/>
      </w:pPr>
      <w:r>
        <w:t xml:space="preserve">Accuracy = (371+628) / 1150 × 100 = 86.87</w:t>
      </w:r>
    </w:p>
    <w:p>
      <w:pPr>
        <w:spacing w:after="20" w:before="80"/>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095500"/>
                    </a:xfrm>
                    <a:prstGeom prst="rect">
                      <a:avLst/>
                    </a:prstGeom>
                  </pic:spPr>
                </pic:pic>
              </a:graphicData>
            </a:graphic>
          </wp:inline>
        </w:drawing>
      </w:r>
      <w:r>
        <w:t xml:space="preserve">   </w:t>
      </w: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2095500"/>
                    </a:xfrm>
                    <a:prstGeom prst="rect">
                      <a:avLst/>
                    </a:prstGeom>
                  </pic:spPr>
                </pic:pic>
              </a:graphicData>
            </a:graphic>
          </wp:inline>
        </w:drawing>
      </w:r>
    </w:p>
    <w:p>
      <w:pPr>
        <w:spacing w:after="160" w:before="40"/>
        <w:jc w:val="center"/>
      </w:pPr>
      <w:r>
        <w:rPr>
          <w:i/>
          <w:iCs/>
          <w:color w:val="555555"/>
          <w:sz w:val="18"/>
          <w:szCs w:val="18"/>
        </w:rPr>
        <w:t xml:space="preserve">ViT-Base/16 — Trucha, sin augmentación x2 — matriz de confusión pooled (izq.) y curva ROC pooled (der.), AUC = 0.9197.</w:t>
      </w:r>
    </w:p>
    <w:p>
      <w:pPr>
        <w:pStyle w:val="Heading3"/>
        <w:spacing w:after="70" w:before="140"/>
      </w:pPr>
      <w:r>
        <w:t xml:space="preserve">4.1.2 Rohu</w:t>
      </w:r>
    </w:p>
    <w:p>
      <w:pPr>
        <w:pStyle w:val="Heading4"/>
        <w:spacing w:after="60" w:before="120"/>
      </w:pPr>
      <w:r>
        <w:t xml:space="preserve">Sin augmentación x2 — F1 macro = 87.67   Accuracy = 89.45   AUC = 0.9514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1800"/>
      </w:tblGrid>
      <w:tr>
        <w:trPr>
          <w:tblHeader/>
        </w:trPr>
        <w:tc>
          <w:tcPr>
            <w:tcW w:type="dxa" w:w="1400"/>
            <w:shd w:fill="D9E2F3" w:val="clear"/>
            <w:tcMar>
              <w:top w:type="dxa" w:w="60"/>
              <w:left w:type="dxa" w:w="100"/>
              <w:bottom w:type="dxa" w:w="60"/>
              <w:right w:type="dxa" w:w="100"/>
            </w:tcMar>
          </w:tcPr>
          <w:p>
            <w:pPr>
              <w:jc w:val="center"/>
            </w:pPr>
            <w:r>
              <w:rPr>
                <w:b/>
                <w:bCs/>
              </w:rPr>
              <w:t xml:space="preserve">Fold</w:t>
            </w:r>
          </w:p>
        </w:tc>
        <w:tc>
          <w:tcPr>
            <w:tcW w:type="dxa" w:w="1800"/>
            <w:shd w:fill="D9E2F3" w:val="clear"/>
            <w:tcMar>
              <w:top w:type="dxa" w:w="60"/>
              <w:left w:type="dxa" w:w="100"/>
              <w:bottom w:type="dxa" w:w="60"/>
              <w:right w:type="dxa" w:w="100"/>
            </w:tcMar>
          </w:tcPr>
          <w:p>
            <w:pPr>
              <w:jc w:val="center"/>
            </w:pPr>
            <w:r>
              <w:rPr>
                <w:b/>
                <w:bCs/>
              </w:rPr>
              <w:t xml:space="preserve">N</w:t>
            </w:r>
          </w:p>
        </w:tc>
        <w:tc>
          <w:tcPr>
            <w:tcW w:type="dxa" w:w="1800"/>
            <w:shd w:fill="D9E2F3" w:val="clear"/>
            <w:tcMar>
              <w:top w:type="dxa" w:w="60"/>
              <w:left w:type="dxa" w:w="100"/>
              <w:bottom w:type="dxa" w:w="60"/>
              <w:right w:type="dxa" w:w="100"/>
            </w:tcMar>
          </w:tcPr>
          <w:p>
            <w:pPr>
              <w:jc w:val="center"/>
            </w:pPr>
            <w:r>
              <w:rPr>
                <w:b/>
                <w:bCs/>
              </w:rPr>
              <w:t xml:space="preserve">F1</w:t>
            </w:r>
          </w:p>
        </w:tc>
        <w:tc>
          <w:tcPr>
            <w:tcW w:type="dxa" w:w="1800"/>
            <w:shd w:fill="D9E2F3" w:val="clear"/>
            <w:tcMar>
              <w:top w:type="dxa" w:w="60"/>
              <w:left w:type="dxa" w:w="100"/>
              <w:bottom w:type="dxa" w:w="60"/>
              <w:right w:type="dxa" w:w="100"/>
            </w:tcMar>
          </w:tcPr>
          <w:p>
            <w:pPr>
              <w:jc w:val="center"/>
            </w:pPr>
            <w:r>
              <w:rPr>
                <w:b/>
                <w:bCs/>
              </w:rPr>
              <w:t xml:space="preserve">Accuracy</w:t>
            </w:r>
          </w:p>
        </w:tc>
        <w:tc>
          <w:tcPr>
            <w:tcW w:type="dxa" w:w="1800"/>
            <w:shd w:fill="D9E2F3" w:val="clear"/>
            <w:tcMar>
              <w:top w:type="dxa" w:w="60"/>
              <w:left w:type="dxa" w:w="100"/>
              <w:bottom w:type="dxa" w:w="60"/>
              <w:right w:type="dxa" w:w="100"/>
            </w:tcMar>
          </w:tcPr>
          <w:p>
            <w:pPr>
              <w:jc w:val="center"/>
            </w:pPr>
            <w:r>
              <w:rPr>
                <w:b/>
                <w:bCs/>
              </w:rPr>
              <w:t xml:space="preserve">AUC</w:t>
            </w:r>
          </w:p>
        </w:tc>
      </w:tr>
      <w:tr>
        <w:tc>
          <w:tcPr>
            <w:tcW w:type="dxa" w:w="1400"/>
            <w:tcMar>
              <w:top w:type="dxa" w:w="60"/>
              <w:left w:type="dxa" w:w="100"/>
              <w:bottom w:type="dxa" w:w="60"/>
              <w:right w:type="dxa" w:w="100"/>
            </w:tcMar>
          </w:tcPr>
          <w:p>
            <w:pPr>
              <w:jc w:val="center"/>
            </w:pPr>
            <w:r>
              <w:rPr>
                <w:b w:val="false"/>
                <w:bCs w:val="false"/>
              </w:rPr>
              <w:t xml:space="preserve">1</w:t>
            </w:r>
          </w:p>
        </w:tc>
        <w:tc>
          <w:tcPr>
            <w:tcW w:type="dxa" w:w="1800"/>
            <w:tcMar>
              <w:top w:type="dxa" w:w="60"/>
              <w:left w:type="dxa" w:w="100"/>
              <w:bottom w:type="dxa" w:w="60"/>
              <w:right w:type="dxa" w:w="100"/>
            </w:tcMar>
          </w:tcPr>
          <w:p>
            <w:pPr>
              <w:jc w:val="center"/>
            </w:pPr>
            <w:r>
              <w:rPr>
                <w:b w:val="false"/>
                <w:bCs w:val="false"/>
              </w:rPr>
              <w:t xml:space="preserve">249</w:t>
            </w:r>
          </w:p>
        </w:tc>
        <w:tc>
          <w:tcPr>
            <w:tcW w:type="dxa" w:w="1800"/>
            <w:tcMar>
              <w:top w:type="dxa" w:w="60"/>
              <w:left w:type="dxa" w:w="100"/>
              <w:bottom w:type="dxa" w:w="60"/>
              <w:right w:type="dxa" w:w="100"/>
            </w:tcMar>
          </w:tcPr>
          <w:p>
            <w:pPr>
              <w:jc w:val="center"/>
            </w:pPr>
            <w:r>
              <w:rPr>
                <w:b w:val="false"/>
                <w:bCs w:val="false"/>
              </w:rPr>
              <w:t xml:space="preserve">84.23</w:t>
            </w:r>
          </w:p>
        </w:tc>
        <w:tc>
          <w:tcPr>
            <w:tcW w:type="dxa" w:w="1800"/>
            <w:tcMar>
              <w:top w:type="dxa" w:w="60"/>
              <w:left w:type="dxa" w:w="100"/>
              <w:bottom w:type="dxa" w:w="60"/>
              <w:right w:type="dxa" w:w="100"/>
            </w:tcMar>
          </w:tcPr>
          <w:p>
            <w:pPr>
              <w:jc w:val="center"/>
            </w:pPr>
            <w:r>
              <w:rPr>
                <w:b w:val="false"/>
                <w:bCs w:val="false"/>
              </w:rPr>
              <w:t xml:space="preserve">85.94</w:t>
            </w:r>
          </w:p>
        </w:tc>
        <w:tc>
          <w:tcPr>
            <w:tcW w:type="dxa" w:w="1800"/>
            <w:tcMar>
              <w:top w:type="dxa" w:w="60"/>
              <w:left w:type="dxa" w:w="100"/>
              <w:bottom w:type="dxa" w:w="60"/>
              <w:right w:type="dxa" w:w="100"/>
            </w:tcMar>
          </w:tcPr>
          <w:p>
            <w:pPr>
              <w:jc w:val="center"/>
            </w:pPr>
            <w:r>
              <w:rPr>
                <w:b w:val="false"/>
                <w:bCs w:val="false"/>
              </w:rPr>
              <w:t xml:space="preserve">0.9414</w:t>
            </w:r>
          </w:p>
        </w:tc>
      </w:tr>
      <w:tr>
        <w:tc>
          <w:tcPr>
            <w:tcW w:type="dxa" w:w="1400"/>
            <w:tcMar>
              <w:top w:type="dxa" w:w="60"/>
              <w:left w:type="dxa" w:w="100"/>
              <w:bottom w:type="dxa" w:w="60"/>
              <w:right w:type="dxa" w:w="100"/>
            </w:tcMar>
          </w:tcPr>
          <w:p>
            <w:pPr>
              <w:jc w:val="center"/>
            </w:pPr>
            <w:r>
              <w:rPr>
                <w:b w:val="false"/>
                <w:bCs w:val="false"/>
              </w:rPr>
              <w:t xml:space="preserve">2</w:t>
            </w:r>
          </w:p>
        </w:tc>
        <w:tc>
          <w:tcPr>
            <w:tcW w:type="dxa" w:w="1800"/>
            <w:tcMar>
              <w:top w:type="dxa" w:w="60"/>
              <w:left w:type="dxa" w:w="100"/>
              <w:bottom w:type="dxa" w:w="60"/>
              <w:right w:type="dxa" w:w="100"/>
            </w:tcMar>
          </w:tcPr>
          <w:p>
            <w:pPr>
              <w:jc w:val="center"/>
            </w:pPr>
            <w:r>
              <w:rPr>
                <w:b w:val="false"/>
                <w:bCs w:val="false"/>
              </w:rPr>
              <w:t xml:space="preserve">254</w:t>
            </w:r>
          </w:p>
        </w:tc>
        <w:tc>
          <w:tcPr>
            <w:tcW w:type="dxa" w:w="1800"/>
            <w:tcMar>
              <w:top w:type="dxa" w:w="60"/>
              <w:left w:type="dxa" w:w="100"/>
              <w:bottom w:type="dxa" w:w="60"/>
              <w:right w:type="dxa" w:w="100"/>
            </w:tcMar>
          </w:tcPr>
          <w:p>
            <w:pPr>
              <w:jc w:val="center"/>
            </w:pPr>
            <w:r>
              <w:rPr>
                <w:b w:val="false"/>
                <w:bCs w:val="false"/>
              </w:rPr>
              <w:t xml:space="preserve">90.54</w:t>
            </w:r>
          </w:p>
        </w:tc>
        <w:tc>
          <w:tcPr>
            <w:tcW w:type="dxa" w:w="1800"/>
            <w:tcMar>
              <w:top w:type="dxa" w:w="60"/>
              <w:left w:type="dxa" w:w="100"/>
              <w:bottom w:type="dxa" w:w="60"/>
              <w:right w:type="dxa" w:w="100"/>
            </w:tcMar>
          </w:tcPr>
          <w:p>
            <w:pPr>
              <w:jc w:val="center"/>
            </w:pPr>
            <w:r>
              <w:rPr>
                <w:b w:val="false"/>
                <w:bCs w:val="false"/>
              </w:rPr>
              <w:t xml:space="preserve">92.13</w:t>
            </w:r>
          </w:p>
        </w:tc>
        <w:tc>
          <w:tcPr>
            <w:tcW w:type="dxa" w:w="1800"/>
            <w:tcMar>
              <w:top w:type="dxa" w:w="60"/>
              <w:left w:type="dxa" w:w="100"/>
              <w:bottom w:type="dxa" w:w="60"/>
              <w:right w:type="dxa" w:w="100"/>
            </w:tcMar>
          </w:tcPr>
          <w:p>
            <w:pPr>
              <w:jc w:val="center"/>
            </w:pPr>
            <w:r>
              <w:rPr>
                <w:b w:val="false"/>
                <w:bCs w:val="false"/>
              </w:rPr>
              <w:t xml:space="preserve">0.9578</w:t>
            </w:r>
          </w:p>
        </w:tc>
      </w:tr>
      <w:tr>
        <w:tc>
          <w:tcPr>
            <w:tcW w:type="dxa" w:w="1400"/>
            <w:tcMar>
              <w:top w:type="dxa" w:w="60"/>
              <w:left w:type="dxa" w:w="100"/>
              <w:bottom w:type="dxa" w:w="60"/>
              <w:right w:type="dxa" w:w="100"/>
            </w:tcMar>
          </w:tcPr>
          <w:p>
            <w:pPr>
              <w:jc w:val="center"/>
            </w:pPr>
            <w:r>
              <w:rPr>
                <w:b w:val="false"/>
                <w:bCs w:val="false"/>
              </w:rPr>
              <w:t xml:space="preserve">3</w:t>
            </w:r>
          </w:p>
        </w:tc>
        <w:tc>
          <w:tcPr>
            <w:tcW w:type="dxa" w:w="1800"/>
            <w:tcMar>
              <w:top w:type="dxa" w:w="60"/>
              <w:left w:type="dxa" w:w="100"/>
              <w:bottom w:type="dxa" w:w="60"/>
              <w:right w:type="dxa" w:w="100"/>
            </w:tcMar>
          </w:tcPr>
          <w:p>
            <w:pPr>
              <w:jc w:val="center"/>
            </w:pPr>
            <w:r>
              <w:rPr>
                <w:b w:val="false"/>
                <w:bCs w:val="false"/>
              </w:rPr>
              <w:t xml:space="preserve">246</w:t>
            </w:r>
          </w:p>
        </w:tc>
        <w:tc>
          <w:tcPr>
            <w:tcW w:type="dxa" w:w="1800"/>
            <w:tcMar>
              <w:top w:type="dxa" w:w="60"/>
              <w:left w:type="dxa" w:w="100"/>
              <w:bottom w:type="dxa" w:w="60"/>
              <w:right w:type="dxa" w:w="100"/>
            </w:tcMar>
          </w:tcPr>
          <w:p>
            <w:pPr>
              <w:jc w:val="center"/>
            </w:pPr>
            <w:r>
              <w:rPr>
                <w:b w:val="false"/>
                <w:bCs w:val="false"/>
              </w:rPr>
              <w:t xml:space="preserve">92.05</w:t>
            </w:r>
          </w:p>
        </w:tc>
        <w:tc>
          <w:tcPr>
            <w:tcW w:type="dxa" w:w="1800"/>
            <w:tcMar>
              <w:top w:type="dxa" w:w="60"/>
              <w:left w:type="dxa" w:w="100"/>
              <w:bottom w:type="dxa" w:w="60"/>
              <w:right w:type="dxa" w:w="100"/>
            </w:tcMar>
          </w:tcPr>
          <w:p>
            <w:pPr>
              <w:jc w:val="center"/>
            </w:pPr>
            <w:r>
              <w:rPr>
                <w:b w:val="false"/>
                <w:bCs w:val="false"/>
              </w:rPr>
              <w:t xml:space="preserve">93.09</w:t>
            </w:r>
          </w:p>
        </w:tc>
        <w:tc>
          <w:tcPr>
            <w:tcW w:type="dxa" w:w="1800"/>
            <w:tcMar>
              <w:top w:type="dxa" w:w="60"/>
              <w:left w:type="dxa" w:w="100"/>
              <w:bottom w:type="dxa" w:w="60"/>
              <w:right w:type="dxa" w:w="100"/>
            </w:tcMar>
          </w:tcPr>
          <w:p>
            <w:pPr>
              <w:jc w:val="center"/>
            </w:pPr>
            <w:r>
              <w:rPr>
                <w:b w:val="false"/>
                <w:bCs w:val="false"/>
              </w:rPr>
              <w:t xml:space="preserve">0.9655</w:t>
            </w:r>
          </w:p>
        </w:tc>
      </w:tr>
      <w:tr>
        <w:tc>
          <w:tcPr>
            <w:tcW w:type="dxa" w:w="1400"/>
            <w:tcMar>
              <w:top w:type="dxa" w:w="60"/>
              <w:left w:type="dxa" w:w="100"/>
              <w:bottom w:type="dxa" w:w="60"/>
              <w:right w:type="dxa" w:w="100"/>
            </w:tcMar>
          </w:tcPr>
          <w:p>
            <w:pPr>
              <w:jc w:val="center"/>
            </w:pPr>
            <w:r>
              <w:rPr>
                <w:b w:val="false"/>
                <w:bCs w:val="false"/>
              </w:rPr>
              <w:t xml:space="preserve">4</w:t>
            </w:r>
          </w:p>
        </w:tc>
        <w:tc>
          <w:tcPr>
            <w:tcW w:type="dxa" w:w="1800"/>
            <w:tcMar>
              <w:top w:type="dxa" w:w="60"/>
              <w:left w:type="dxa" w:w="100"/>
              <w:bottom w:type="dxa" w:w="60"/>
              <w:right w:type="dxa" w:w="100"/>
            </w:tcMar>
          </w:tcPr>
          <w:p>
            <w:pPr>
              <w:jc w:val="center"/>
            </w:pPr>
            <w:r>
              <w:rPr>
                <w:b w:val="false"/>
                <w:bCs w:val="false"/>
              </w:rPr>
              <w:t xml:space="preserve">284</w:t>
            </w:r>
          </w:p>
        </w:tc>
        <w:tc>
          <w:tcPr>
            <w:tcW w:type="dxa" w:w="1800"/>
            <w:tcMar>
              <w:top w:type="dxa" w:w="60"/>
              <w:left w:type="dxa" w:w="100"/>
              <w:bottom w:type="dxa" w:w="60"/>
              <w:right w:type="dxa" w:w="100"/>
            </w:tcMar>
          </w:tcPr>
          <w:p>
            <w:pPr>
              <w:jc w:val="center"/>
            </w:pPr>
            <w:r>
              <w:rPr>
                <w:b w:val="false"/>
                <w:bCs w:val="false"/>
              </w:rPr>
              <w:t xml:space="preserve">86.25</w:t>
            </w:r>
          </w:p>
        </w:tc>
        <w:tc>
          <w:tcPr>
            <w:tcW w:type="dxa" w:w="1800"/>
            <w:tcMar>
              <w:top w:type="dxa" w:w="60"/>
              <w:left w:type="dxa" w:w="100"/>
              <w:bottom w:type="dxa" w:w="60"/>
              <w:right w:type="dxa" w:w="100"/>
            </w:tcMar>
          </w:tcPr>
          <w:p>
            <w:pPr>
              <w:jc w:val="center"/>
            </w:pPr>
            <w:r>
              <w:rPr>
                <w:b w:val="false"/>
                <w:bCs w:val="false"/>
              </w:rPr>
              <w:t xml:space="preserve">89.08</w:t>
            </w:r>
          </w:p>
        </w:tc>
        <w:tc>
          <w:tcPr>
            <w:tcW w:type="dxa" w:w="1800"/>
            <w:tcMar>
              <w:top w:type="dxa" w:w="60"/>
              <w:left w:type="dxa" w:w="100"/>
              <w:bottom w:type="dxa" w:w="60"/>
              <w:right w:type="dxa" w:w="100"/>
            </w:tcMar>
          </w:tcPr>
          <w:p>
            <w:pPr>
              <w:jc w:val="center"/>
            </w:pPr>
            <w:r>
              <w:rPr>
                <w:b w:val="false"/>
                <w:bCs w:val="false"/>
              </w:rPr>
              <w:t xml:space="preserve">0.9478</w:t>
            </w:r>
          </w:p>
        </w:tc>
      </w:tr>
      <w:tr>
        <w:tc>
          <w:tcPr>
            <w:tcW w:type="dxa" w:w="1400"/>
            <w:tcMar>
              <w:top w:type="dxa" w:w="60"/>
              <w:left w:type="dxa" w:w="100"/>
              <w:bottom w:type="dxa" w:w="60"/>
              <w:right w:type="dxa" w:w="100"/>
            </w:tcMar>
          </w:tcPr>
          <w:p>
            <w:pPr>
              <w:jc w:val="center"/>
            </w:pPr>
            <w:r>
              <w:rPr>
                <w:b w:val="false"/>
                <w:bCs w:val="false"/>
              </w:rPr>
              <w:t xml:space="preserve">5</w:t>
            </w:r>
          </w:p>
        </w:tc>
        <w:tc>
          <w:tcPr>
            <w:tcW w:type="dxa" w:w="1800"/>
            <w:tcMar>
              <w:top w:type="dxa" w:w="60"/>
              <w:left w:type="dxa" w:w="100"/>
              <w:bottom w:type="dxa" w:w="60"/>
              <w:right w:type="dxa" w:w="100"/>
            </w:tcMar>
          </w:tcPr>
          <w:p>
            <w:pPr>
              <w:jc w:val="center"/>
            </w:pPr>
            <w:r>
              <w:rPr>
                <w:b w:val="false"/>
                <w:bCs w:val="false"/>
              </w:rPr>
              <w:t xml:space="preserve">228</w:t>
            </w:r>
          </w:p>
        </w:tc>
        <w:tc>
          <w:tcPr>
            <w:tcW w:type="dxa" w:w="1800"/>
            <w:tcMar>
              <w:top w:type="dxa" w:w="60"/>
              <w:left w:type="dxa" w:w="100"/>
              <w:bottom w:type="dxa" w:w="60"/>
              <w:right w:type="dxa" w:w="100"/>
            </w:tcMar>
          </w:tcPr>
          <w:p>
            <w:pPr>
              <w:jc w:val="center"/>
            </w:pPr>
            <w:r>
              <w:rPr>
                <w:b w:val="false"/>
                <w:bCs w:val="false"/>
              </w:rPr>
              <w:t xml:space="preserve">85.20</w:t>
            </w:r>
          </w:p>
        </w:tc>
        <w:tc>
          <w:tcPr>
            <w:tcW w:type="dxa" w:w="1800"/>
            <w:tcMar>
              <w:top w:type="dxa" w:w="60"/>
              <w:left w:type="dxa" w:w="100"/>
              <w:bottom w:type="dxa" w:w="60"/>
              <w:right w:type="dxa" w:w="100"/>
            </w:tcMar>
          </w:tcPr>
          <w:p>
            <w:pPr>
              <w:jc w:val="center"/>
            </w:pPr>
            <w:r>
              <w:rPr>
                <w:b w:val="false"/>
                <w:bCs w:val="false"/>
              </w:rPr>
              <w:t xml:space="preserve">86.84</w:t>
            </w:r>
          </w:p>
        </w:tc>
        <w:tc>
          <w:tcPr>
            <w:tcW w:type="dxa" w:w="1800"/>
            <w:tcMar>
              <w:top w:type="dxa" w:w="60"/>
              <w:left w:type="dxa" w:w="100"/>
              <w:bottom w:type="dxa" w:w="60"/>
              <w:right w:type="dxa" w:w="100"/>
            </w:tcMar>
          </w:tcPr>
          <w:p>
            <w:pPr>
              <w:jc w:val="center"/>
            </w:pPr>
            <w:r>
              <w:rPr>
                <w:b w:val="false"/>
                <w:bCs w:val="false"/>
              </w:rPr>
              <w:t xml:space="preserve">0.9451</w:t>
            </w:r>
          </w:p>
        </w:tc>
      </w:tr>
    </w:tbl>
    <w:p>
      <w:pPr>
        <w:spacing w:after="100"/>
      </w:pPr>
      <w:r>
        <w:rPr>
          <w:b/>
          <w:bCs/>
        </w:rPr>
        <w:t xml:space="preserve">Matriz de confusión pooled (TP=324, FP=35, FN=98, TN=804, N=1261):</w:t>
      </w:r>
    </w:p>
    <w:p>
      <w:pPr>
        <w:spacing w:after="100"/>
      </w:pPr>
      <w:r>
        <w:t xml:space="preserve">F1_fresco = 2×90.25×76.78/(90.25+76.78) = 82.97</w:t>
      </w:r>
    </w:p>
    <w:p>
      <w:pPr>
        <w:spacing w:after="100"/>
      </w:pPr>
      <w:r>
        <w:t xml:space="preserve">F1_no_fresco = 2×89.14×95.83/(89.14+95.83) = 92.36</w:t>
      </w:r>
    </w:p>
    <w:p>
      <w:pPr>
        <w:spacing w:after="100"/>
      </w:pPr>
      <w:r>
        <w:t xml:space="preserve">F1 macro = (82.97+92.36)/2 = 87.67   (valor guardado: 87.67)</w:t>
      </w:r>
    </w:p>
    <w:p>
      <w:pPr>
        <w:spacing w:after="100"/>
      </w:pPr>
      <w:r>
        <w:t xml:space="preserve">Accuracy = (324+804) / 1261 × 100 = 89.45</w:t>
      </w:r>
    </w:p>
    <w:p>
      <w:pPr>
        <w:spacing w:after="20" w:before="80"/>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2095500"/>
                    </a:xfrm>
                    <a:prstGeom prst="rect">
                      <a:avLst/>
                    </a:prstGeom>
                  </pic:spPr>
                </pic:pic>
              </a:graphicData>
            </a:graphic>
          </wp:inline>
        </w:drawing>
      </w:r>
      <w:r>
        <w:t xml:space="preserve">   </w:t>
      </w: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2095500"/>
                    </a:xfrm>
                    <a:prstGeom prst="rect">
                      <a:avLst/>
                    </a:prstGeom>
                  </pic:spPr>
                </pic:pic>
              </a:graphicData>
            </a:graphic>
          </wp:inline>
        </w:drawing>
      </w:r>
    </w:p>
    <w:p>
      <w:pPr>
        <w:spacing w:after="160" w:before="40"/>
        <w:jc w:val="center"/>
      </w:pPr>
      <w:r>
        <w:rPr>
          <w:i/>
          <w:iCs/>
          <w:color w:val="555555"/>
          <w:sz w:val="18"/>
          <w:szCs w:val="18"/>
        </w:rPr>
        <w:t xml:space="preserve">ViT-Base/16 — Rohu, sin augmentación x2 — matriz de confusión pooled (izq.) y curva ROC pooled (der.), AUC = 0.9514.</w:t>
      </w:r>
    </w:p>
    <w:p>
      <w:pPr>
        <w:pStyle w:val="Heading2"/>
        <w:spacing w:after="90" w:before="180"/>
      </w:pPr>
      <w:r>
        <w:t xml:space="preserve">4.2. DenseNet-121</w:t>
      </w:r>
    </w:p>
    <w:p>
      <w:pPr>
        <w:pStyle w:val="Heading3"/>
        <w:spacing w:after="70" w:before="140"/>
      </w:pPr>
      <w:r>
        <w:t xml:space="preserve">4.2.1 Trucha</w:t>
      </w:r>
    </w:p>
    <w:p>
      <w:pPr>
        <w:pStyle w:val="Heading4"/>
        <w:spacing w:after="60" w:before="120"/>
      </w:pPr>
      <w:r>
        <w:t xml:space="preserve">Sin augmentación x2 — F1 macro = 80.80   Accuracy = 82.00   AUC = 0.8973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1800"/>
      </w:tblGrid>
      <w:tr>
        <w:trPr>
          <w:tblHeader/>
        </w:trPr>
        <w:tc>
          <w:tcPr>
            <w:tcW w:type="dxa" w:w="1400"/>
            <w:shd w:fill="D9E2F3" w:val="clear"/>
            <w:tcMar>
              <w:top w:type="dxa" w:w="60"/>
              <w:left w:type="dxa" w:w="100"/>
              <w:bottom w:type="dxa" w:w="60"/>
              <w:right w:type="dxa" w:w="100"/>
            </w:tcMar>
          </w:tcPr>
          <w:p>
            <w:pPr>
              <w:jc w:val="center"/>
            </w:pPr>
            <w:r>
              <w:rPr>
                <w:b/>
                <w:bCs/>
              </w:rPr>
              <w:t xml:space="preserve">Fold</w:t>
            </w:r>
          </w:p>
        </w:tc>
        <w:tc>
          <w:tcPr>
            <w:tcW w:type="dxa" w:w="1800"/>
            <w:shd w:fill="D9E2F3" w:val="clear"/>
            <w:tcMar>
              <w:top w:type="dxa" w:w="60"/>
              <w:left w:type="dxa" w:w="100"/>
              <w:bottom w:type="dxa" w:w="60"/>
              <w:right w:type="dxa" w:w="100"/>
            </w:tcMar>
          </w:tcPr>
          <w:p>
            <w:pPr>
              <w:jc w:val="center"/>
            </w:pPr>
            <w:r>
              <w:rPr>
                <w:b/>
                <w:bCs/>
              </w:rPr>
              <w:t xml:space="preserve">N</w:t>
            </w:r>
          </w:p>
        </w:tc>
        <w:tc>
          <w:tcPr>
            <w:tcW w:type="dxa" w:w="1800"/>
            <w:shd w:fill="D9E2F3" w:val="clear"/>
            <w:tcMar>
              <w:top w:type="dxa" w:w="60"/>
              <w:left w:type="dxa" w:w="100"/>
              <w:bottom w:type="dxa" w:w="60"/>
              <w:right w:type="dxa" w:w="100"/>
            </w:tcMar>
          </w:tcPr>
          <w:p>
            <w:pPr>
              <w:jc w:val="center"/>
            </w:pPr>
            <w:r>
              <w:rPr>
                <w:b/>
                <w:bCs/>
              </w:rPr>
              <w:t xml:space="preserve">F1</w:t>
            </w:r>
          </w:p>
        </w:tc>
        <w:tc>
          <w:tcPr>
            <w:tcW w:type="dxa" w:w="1800"/>
            <w:shd w:fill="D9E2F3" w:val="clear"/>
            <w:tcMar>
              <w:top w:type="dxa" w:w="60"/>
              <w:left w:type="dxa" w:w="100"/>
              <w:bottom w:type="dxa" w:w="60"/>
              <w:right w:type="dxa" w:w="100"/>
            </w:tcMar>
          </w:tcPr>
          <w:p>
            <w:pPr>
              <w:jc w:val="center"/>
            </w:pPr>
            <w:r>
              <w:rPr>
                <w:b/>
                <w:bCs/>
              </w:rPr>
              <w:t xml:space="preserve">Accuracy</w:t>
            </w:r>
          </w:p>
        </w:tc>
        <w:tc>
          <w:tcPr>
            <w:tcW w:type="dxa" w:w="1800"/>
            <w:shd w:fill="D9E2F3" w:val="clear"/>
            <w:tcMar>
              <w:top w:type="dxa" w:w="60"/>
              <w:left w:type="dxa" w:w="100"/>
              <w:bottom w:type="dxa" w:w="60"/>
              <w:right w:type="dxa" w:w="100"/>
            </w:tcMar>
          </w:tcPr>
          <w:p>
            <w:pPr>
              <w:jc w:val="center"/>
            </w:pPr>
            <w:r>
              <w:rPr>
                <w:b/>
                <w:bCs/>
              </w:rPr>
              <w:t xml:space="preserve">AUC</w:t>
            </w:r>
          </w:p>
        </w:tc>
      </w:tr>
      <w:tr>
        <w:tc>
          <w:tcPr>
            <w:tcW w:type="dxa" w:w="1400"/>
            <w:tcMar>
              <w:top w:type="dxa" w:w="60"/>
              <w:left w:type="dxa" w:w="100"/>
              <w:bottom w:type="dxa" w:w="60"/>
              <w:right w:type="dxa" w:w="100"/>
            </w:tcMar>
          </w:tcPr>
          <w:p>
            <w:pPr>
              <w:jc w:val="center"/>
            </w:pPr>
            <w:r>
              <w:rPr>
                <w:b w:val="false"/>
                <w:bCs w:val="false"/>
              </w:rPr>
              <w:t xml:space="preserve">1</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77.50</w:t>
            </w:r>
          </w:p>
        </w:tc>
        <w:tc>
          <w:tcPr>
            <w:tcW w:type="dxa" w:w="1800"/>
            <w:tcMar>
              <w:top w:type="dxa" w:w="60"/>
              <w:left w:type="dxa" w:w="100"/>
              <w:bottom w:type="dxa" w:w="60"/>
              <w:right w:type="dxa" w:w="100"/>
            </w:tcMar>
          </w:tcPr>
          <w:p>
            <w:pPr>
              <w:jc w:val="center"/>
            </w:pPr>
            <w:r>
              <w:rPr>
                <w:b w:val="false"/>
                <w:bCs w:val="false"/>
              </w:rPr>
              <w:t xml:space="preserve">78.70</w:t>
            </w:r>
          </w:p>
        </w:tc>
        <w:tc>
          <w:tcPr>
            <w:tcW w:type="dxa" w:w="1800"/>
            <w:tcMar>
              <w:top w:type="dxa" w:w="60"/>
              <w:left w:type="dxa" w:w="100"/>
              <w:bottom w:type="dxa" w:w="60"/>
              <w:right w:type="dxa" w:w="100"/>
            </w:tcMar>
          </w:tcPr>
          <w:p>
            <w:pPr>
              <w:jc w:val="center"/>
            </w:pPr>
            <w:r>
              <w:rPr>
                <w:b w:val="false"/>
                <w:bCs w:val="false"/>
              </w:rPr>
              <w:t xml:space="preserve">0.8534</w:t>
            </w:r>
          </w:p>
        </w:tc>
      </w:tr>
      <w:tr>
        <w:tc>
          <w:tcPr>
            <w:tcW w:type="dxa" w:w="1400"/>
            <w:tcMar>
              <w:top w:type="dxa" w:w="60"/>
              <w:left w:type="dxa" w:w="100"/>
              <w:bottom w:type="dxa" w:w="60"/>
              <w:right w:type="dxa" w:w="100"/>
            </w:tcMar>
          </w:tcPr>
          <w:p>
            <w:pPr>
              <w:jc w:val="center"/>
            </w:pPr>
            <w:r>
              <w:rPr>
                <w:b w:val="false"/>
                <w:bCs w:val="false"/>
              </w:rPr>
              <w:t xml:space="preserve">2</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82.51</w:t>
            </w:r>
          </w:p>
        </w:tc>
        <w:tc>
          <w:tcPr>
            <w:tcW w:type="dxa" w:w="1800"/>
            <w:tcMar>
              <w:top w:type="dxa" w:w="60"/>
              <w:left w:type="dxa" w:w="100"/>
              <w:bottom w:type="dxa" w:w="60"/>
              <w:right w:type="dxa" w:w="100"/>
            </w:tcMar>
          </w:tcPr>
          <w:p>
            <w:pPr>
              <w:jc w:val="center"/>
            </w:pPr>
            <w:r>
              <w:rPr>
                <w:b w:val="false"/>
                <w:bCs w:val="false"/>
              </w:rPr>
              <w:t xml:space="preserve">83.48</w:t>
            </w:r>
          </w:p>
        </w:tc>
        <w:tc>
          <w:tcPr>
            <w:tcW w:type="dxa" w:w="1800"/>
            <w:tcMar>
              <w:top w:type="dxa" w:w="60"/>
              <w:left w:type="dxa" w:w="100"/>
              <w:bottom w:type="dxa" w:w="60"/>
              <w:right w:type="dxa" w:w="100"/>
            </w:tcMar>
          </w:tcPr>
          <w:p>
            <w:pPr>
              <w:jc w:val="center"/>
            </w:pPr>
            <w:r>
              <w:rPr>
                <w:b w:val="false"/>
                <w:bCs w:val="false"/>
              </w:rPr>
              <w:t xml:space="preserve">0.9000</w:t>
            </w:r>
          </w:p>
        </w:tc>
      </w:tr>
      <w:tr>
        <w:tc>
          <w:tcPr>
            <w:tcW w:type="dxa" w:w="1400"/>
            <w:tcMar>
              <w:top w:type="dxa" w:w="60"/>
              <w:left w:type="dxa" w:w="100"/>
              <w:bottom w:type="dxa" w:w="60"/>
              <w:right w:type="dxa" w:w="100"/>
            </w:tcMar>
          </w:tcPr>
          <w:p>
            <w:pPr>
              <w:jc w:val="center"/>
            </w:pPr>
            <w:r>
              <w:rPr>
                <w:b w:val="false"/>
                <w:bCs w:val="false"/>
              </w:rPr>
              <w:t xml:space="preserve">3</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85.45</w:t>
            </w:r>
          </w:p>
        </w:tc>
        <w:tc>
          <w:tcPr>
            <w:tcW w:type="dxa" w:w="1800"/>
            <w:tcMar>
              <w:top w:type="dxa" w:w="60"/>
              <w:left w:type="dxa" w:w="100"/>
              <w:bottom w:type="dxa" w:w="60"/>
              <w:right w:type="dxa" w:w="100"/>
            </w:tcMar>
          </w:tcPr>
          <w:p>
            <w:pPr>
              <w:jc w:val="center"/>
            </w:pPr>
            <w:r>
              <w:rPr>
                <w:b w:val="false"/>
                <w:bCs w:val="false"/>
              </w:rPr>
              <w:t xml:space="preserve">86.09</w:t>
            </w:r>
          </w:p>
        </w:tc>
        <w:tc>
          <w:tcPr>
            <w:tcW w:type="dxa" w:w="1800"/>
            <w:tcMar>
              <w:top w:type="dxa" w:w="60"/>
              <w:left w:type="dxa" w:w="100"/>
              <w:bottom w:type="dxa" w:w="60"/>
              <w:right w:type="dxa" w:w="100"/>
            </w:tcMar>
          </w:tcPr>
          <w:p>
            <w:pPr>
              <w:jc w:val="center"/>
            </w:pPr>
            <w:r>
              <w:rPr>
                <w:b w:val="false"/>
                <w:bCs w:val="false"/>
              </w:rPr>
              <w:t xml:space="preserve">0.9402</w:t>
            </w:r>
          </w:p>
        </w:tc>
      </w:tr>
      <w:tr>
        <w:tc>
          <w:tcPr>
            <w:tcW w:type="dxa" w:w="1400"/>
            <w:tcMar>
              <w:top w:type="dxa" w:w="60"/>
              <w:left w:type="dxa" w:w="100"/>
              <w:bottom w:type="dxa" w:w="60"/>
              <w:right w:type="dxa" w:w="100"/>
            </w:tcMar>
          </w:tcPr>
          <w:p>
            <w:pPr>
              <w:jc w:val="center"/>
            </w:pPr>
            <w:r>
              <w:rPr>
                <w:b w:val="false"/>
                <w:bCs w:val="false"/>
              </w:rPr>
              <w:t xml:space="preserve">4</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76.04</w:t>
            </w:r>
          </w:p>
        </w:tc>
        <w:tc>
          <w:tcPr>
            <w:tcW w:type="dxa" w:w="1800"/>
            <w:tcMar>
              <w:top w:type="dxa" w:w="60"/>
              <w:left w:type="dxa" w:w="100"/>
              <w:bottom w:type="dxa" w:w="60"/>
              <w:right w:type="dxa" w:w="100"/>
            </w:tcMar>
          </w:tcPr>
          <w:p>
            <w:pPr>
              <w:jc w:val="center"/>
            </w:pPr>
            <w:r>
              <w:rPr>
                <w:b w:val="false"/>
                <w:bCs w:val="false"/>
              </w:rPr>
              <w:t xml:space="preserve">78.26</w:t>
            </w:r>
          </w:p>
        </w:tc>
        <w:tc>
          <w:tcPr>
            <w:tcW w:type="dxa" w:w="1800"/>
            <w:tcMar>
              <w:top w:type="dxa" w:w="60"/>
              <w:left w:type="dxa" w:w="100"/>
              <w:bottom w:type="dxa" w:w="60"/>
              <w:right w:type="dxa" w:w="100"/>
            </w:tcMar>
          </w:tcPr>
          <w:p>
            <w:pPr>
              <w:jc w:val="center"/>
            </w:pPr>
            <w:r>
              <w:rPr>
                <w:b w:val="false"/>
                <w:bCs w:val="false"/>
              </w:rPr>
              <w:t xml:space="preserve">0.8734</w:t>
            </w:r>
          </w:p>
        </w:tc>
      </w:tr>
      <w:tr>
        <w:tc>
          <w:tcPr>
            <w:tcW w:type="dxa" w:w="1400"/>
            <w:tcMar>
              <w:top w:type="dxa" w:w="60"/>
              <w:left w:type="dxa" w:w="100"/>
              <w:bottom w:type="dxa" w:w="60"/>
              <w:right w:type="dxa" w:w="100"/>
            </w:tcMar>
          </w:tcPr>
          <w:p>
            <w:pPr>
              <w:jc w:val="center"/>
            </w:pPr>
            <w:r>
              <w:rPr>
                <w:b w:val="false"/>
                <w:bCs w:val="false"/>
              </w:rPr>
              <w:t xml:space="preserve">5</w:t>
            </w:r>
          </w:p>
        </w:tc>
        <w:tc>
          <w:tcPr>
            <w:tcW w:type="dxa" w:w="1800"/>
            <w:tcMar>
              <w:top w:type="dxa" w:w="60"/>
              <w:left w:type="dxa" w:w="100"/>
              <w:bottom w:type="dxa" w:w="60"/>
              <w:right w:type="dxa" w:w="100"/>
            </w:tcMar>
          </w:tcPr>
          <w:p>
            <w:pPr>
              <w:jc w:val="center"/>
            </w:pPr>
            <w:r>
              <w:rPr>
                <w:b w:val="false"/>
                <w:bCs w:val="false"/>
              </w:rPr>
              <w:t xml:space="preserve">230</w:t>
            </w:r>
          </w:p>
        </w:tc>
        <w:tc>
          <w:tcPr>
            <w:tcW w:type="dxa" w:w="1800"/>
            <w:tcMar>
              <w:top w:type="dxa" w:w="60"/>
              <w:left w:type="dxa" w:w="100"/>
              <w:bottom w:type="dxa" w:w="60"/>
              <w:right w:type="dxa" w:w="100"/>
            </w:tcMar>
          </w:tcPr>
          <w:p>
            <w:pPr>
              <w:jc w:val="center"/>
            </w:pPr>
            <w:r>
              <w:rPr>
                <w:b w:val="false"/>
                <w:bCs w:val="false"/>
              </w:rPr>
              <w:t xml:space="preserve">82.18</w:t>
            </w:r>
          </w:p>
        </w:tc>
        <w:tc>
          <w:tcPr>
            <w:tcW w:type="dxa" w:w="1800"/>
            <w:tcMar>
              <w:top w:type="dxa" w:w="60"/>
              <w:left w:type="dxa" w:w="100"/>
              <w:bottom w:type="dxa" w:w="60"/>
              <w:right w:type="dxa" w:w="100"/>
            </w:tcMar>
          </w:tcPr>
          <w:p>
            <w:pPr>
              <w:jc w:val="center"/>
            </w:pPr>
            <w:r>
              <w:rPr>
                <w:b w:val="false"/>
                <w:bCs w:val="false"/>
              </w:rPr>
              <w:t xml:space="preserve">83.48</w:t>
            </w:r>
          </w:p>
        </w:tc>
        <w:tc>
          <w:tcPr>
            <w:tcW w:type="dxa" w:w="1800"/>
            <w:tcMar>
              <w:top w:type="dxa" w:w="60"/>
              <w:left w:type="dxa" w:w="100"/>
              <w:bottom w:type="dxa" w:w="60"/>
              <w:right w:type="dxa" w:w="100"/>
            </w:tcMar>
          </w:tcPr>
          <w:p>
            <w:pPr>
              <w:jc w:val="center"/>
            </w:pPr>
            <w:r>
              <w:rPr>
                <w:b w:val="false"/>
                <w:bCs w:val="false"/>
              </w:rPr>
              <w:t xml:space="preserve">0.9334</w:t>
            </w:r>
          </w:p>
        </w:tc>
      </w:tr>
    </w:tbl>
    <w:p>
      <w:pPr>
        <w:spacing w:after="100"/>
      </w:pPr>
      <w:r>
        <w:rPr>
          <w:b/>
          <w:bCs/>
        </w:rPr>
        <w:t xml:space="preserve">Matriz de confusión pooled (TP=328, FP=54, FN=153, TN=615, N=1150):</w:t>
      </w:r>
    </w:p>
    <w:p>
      <w:pPr>
        <w:spacing w:after="100"/>
      </w:pPr>
      <w:r>
        <w:t xml:space="preserve">F1_fresco = 2×85.86×68.19/(85.86+68.19) = 76.01</w:t>
      </w:r>
    </w:p>
    <w:p>
      <w:pPr>
        <w:spacing w:after="100"/>
      </w:pPr>
      <w:r>
        <w:t xml:space="preserve">F1_no_fresco = 2×80.08×91.93/(80.08+91.93) = 85.59</w:t>
      </w:r>
    </w:p>
    <w:p>
      <w:pPr>
        <w:spacing w:after="100"/>
      </w:pPr>
      <w:r>
        <w:t xml:space="preserve">F1 macro = (76.01+85.59)/2 = 80.80   (valor guardado: 80.80)</w:t>
      </w:r>
    </w:p>
    <w:p>
      <w:pPr>
        <w:spacing w:after="100"/>
      </w:pPr>
      <w:r>
        <w:t xml:space="preserve">Accuracy = (328+615) / 1150 × 100 = 82.00</w:t>
      </w:r>
    </w:p>
    <w:p>
      <w:pPr>
        <w:spacing w:after="20" w:before="80"/>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2095500"/>
                    </a:xfrm>
                    <a:prstGeom prst="rect">
                      <a:avLst/>
                    </a:prstGeom>
                  </pic:spPr>
                </pic:pic>
              </a:graphicData>
            </a:graphic>
          </wp:inline>
        </w:drawing>
      </w:r>
      <w:r>
        <w:t xml:space="preserve">   </w:t>
      </w: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2095500"/>
                    </a:xfrm>
                    <a:prstGeom prst="rect">
                      <a:avLst/>
                    </a:prstGeom>
                  </pic:spPr>
                </pic:pic>
              </a:graphicData>
            </a:graphic>
          </wp:inline>
        </w:drawing>
      </w:r>
    </w:p>
    <w:p>
      <w:pPr>
        <w:spacing w:after="160" w:before="40"/>
        <w:jc w:val="center"/>
      </w:pPr>
      <w:r>
        <w:rPr>
          <w:i/>
          <w:iCs/>
          <w:color w:val="555555"/>
          <w:sz w:val="18"/>
          <w:szCs w:val="18"/>
        </w:rPr>
        <w:t xml:space="preserve">DenseNet-121 — Trucha, sin augmentación x2 — matriz de confusión pooled (izq.) y curva ROC pooled (der.), AUC = 0.8973.</w:t>
      </w:r>
    </w:p>
    <w:p>
      <w:pPr>
        <w:pStyle w:val="Heading3"/>
        <w:spacing w:after="70" w:before="140"/>
      </w:pPr>
      <w:r>
        <w:t xml:space="preserve">4.2.2 Rohu</w:t>
      </w:r>
    </w:p>
    <w:p>
      <w:pPr>
        <w:pStyle w:val="Heading4"/>
        <w:spacing w:after="60" w:before="120"/>
      </w:pPr>
      <w:r>
        <w:t xml:space="preserve">Sin augmentación x2 — F1 macro = 83.01   Accuracy = 85.57   AUC = 0.9140</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1800"/>
      </w:tblGrid>
      <w:tr>
        <w:trPr>
          <w:tblHeader/>
        </w:trPr>
        <w:tc>
          <w:tcPr>
            <w:tcW w:type="dxa" w:w="1400"/>
            <w:shd w:fill="D9E2F3" w:val="clear"/>
            <w:tcMar>
              <w:top w:type="dxa" w:w="60"/>
              <w:left w:type="dxa" w:w="100"/>
              <w:bottom w:type="dxa" w:w="60"/>
              <w:right w:type="dxa" w:w="100"/>
            </w:tcMar>
          </w:tcPr>
          <w:p>
            <w:pPr>
              <w:jc w:val="center"/>
            </w:pPr>
            <w:r>
              <w:rPr>
                <w:b/>
                <w:bCs/>
              </w:rPr>
              <w:t xml:space="preserve">Fold</w:t>
            </w:r>
          </w:p>
        </w:tc>
        <w:tc>
          <w:tcPr>
            <w:tcW w:type="dxa" w:w="1800"/>
            <w:shd w:fill="D9E2F3" w:val="clear"/>
            <w:tcMar>
              <w:top w:type="dxa" w:w="60"/>
              <w:left w:type="dxa" w:w="100"/>
              <w:bottom w:type="dxa" w:w="60"/>
              <w:right w:type="dxa" w:w="100"/>
            </w:tcMar>
          </w:tcPr>
          <w:p>
            <w:pPr>
              <w:jc w:val="center"/>
            </w:pPr>
            <w:r>
              <w:rPr>
                <w:b/>
                <w:bCs/>
              </w:rPr>
              <w:t xml:space="preserve">N</w:t>
            </w:r>
          </w:p>
        </w:tc>
        <w:tc>
          <w:tcPr>
            <w:tcW w:type="dxa" w:w="1800"/>
            <w:shd w:fill="D9E2F3" w:val="clear"/>
            <w:tcMar>
              <w:top w:type="dxa" w:w="60"/>
              <w:left w:type="dxa" w:w="100"/>
              <w:bottom w:type="dxa" w:w="60"/>
              <w:right w:type="dxa" w:w="100"/>
            </w:tcMar>
          </w:tcPr>
          <w:p>
            <w:pPr>
              <w:jc w:val="center"/>
            </w:pPr>
            <w:r>
              <w:rPr>
                <w:b/>
                <w:bCs/>
              </w:rPr>
              <w:t xml:space="preserve">F1</w:t>
            </w:r>
          </w:p>
        </w:tc>
        <w:tc>
          <w:tcPr>
            <w:tcW w:type="dxa" w:w="1800"/>
            <w:shd w:fill="D9E2F3" w:val="clear"/>
            <w:tcMar>
              <w:top w:type="dxa" w:w="60"/>
              <w:left w:type="dxa" w:w="100"/>
              <w:bottom w:type="dxa" w:w="60"/>
              <w:right w:type="dxa" w:w="100"/>
            </w:tcMar>
          </w:tcPr>
          <w:p>
            <w:pPr>
              <w:jc w:val="center"/>
            </w:pPr>
            <w:r>
              <w:rPr>
                <w:b/>
                <w:bCs/>
              </w:rPr>
              <w:t xml:space="preserve">Accuracy</w:t>
            </w:r>
          </w:p>
        </w:tc>
        <w:tc>
          <w:tcPr>
            <w:tcW w:type="dxa" w:w="1800"/>
            <w:shd w:fill="D9E2F3" w:val="clear"/>
            <w:tcMar>
              <w:top w:type="dxa" w:w="60"/>
              <w:left w:type="dxa" w:w="100"/>
              <w:bottom w:type="dxa" w:w="60"/>
              <w:right w:type="dxa" w:w="100"/>
            </w:tcMar>
          </w:tcPr>
          <w:p>
            <w:pPr>
              <w:jc w:val="center"/>
            </w:pPr>
            <w:r>
              <w:rPr>
                <w:b/>
                <w:bCs/>
              </w:rPr>
              <w:t xml:space="preserve">AUC</w:t>
            </w:r>
          </w:p>
        </w:tc>
      </w:tr>
      <w:tr>
        <w:tc>
          <w:tcPr>
            <w:tcW w:type="dxa" w:w="1400"/>
            <w:tcMar>
              <w:top w:type="dxa" w:w="60"/>
              <w:left w:type="dxa" w:w="100"/>
              <w:bottom w:type="dxa" w:w="60"/>
              <w:right w:type="dxa" w:w="100"/>
            </w:tcMar>
          </w:tcPr>
          <w:p>
            <w:pPr>
              <w:jc w:val="center"/>
            </w:pPr>
            <w:r>
              <w:rPr>
                <w:b w:val="false"/>
                <w:bCs w:val="false"/>
              </w:rPr>
              <w:t xml:space="preserve">1</w:t>
            </w:r>
          </w:p>
        </w:tc>
        <w:tc>
          <w:tcPr>
            <w:tcW w:type="dxa" w:w="1800"/>
            <w:tcMar>
              <w:top w:type="dxa" w:w="60"/>
              <w:left w:type="dxa" w:w="100"/>
              <w:bottom w:type="dxa" w:w="60"/>
              <w:right w:type="dxa" w:w="100"/>
            </w:tcMar>
          </w:tcPr>
          <w:p>
            <w:pPr>
              <w:jc w:val="center"/>
            </w:pPr>
            <w:r>
              <w:rPr>
                <w:b w:val="false"/>
                <w:bCs w:val="false"/>
              </w:rPr>
              <w:t xml:space="preserve">249</w:t>
            </w:r>
          </w:p>
        </w:tc>
        <w:tc>
          <w:tcPr>
            <w:tcW w:type="dxa" w:w="1800"/>
            <w:tcMar>
              <w:top w:type="dxa" w:w="60"/>
              <w:left w:type="dxa" w:w="100"/>
              <w:bottom w:type="dxa" w:w="60"/>
              <w:right w:type="dxa" w:w="100"/>
            </w:tcMar>
          </w:tcPr>
          <w:p>
            <w:pPr>
              <w:jc w:val="center"/>
            </w:pPr>
            <w:r>
              <w:rPr>
                <w:b w:val="false"/>
                <w:bCs w:val="false"/>
              </w:rPr>
              <w:t xml:space="preserve">85.35</w:t>
            </w:r>
          </w:p>
        </w:tc>
        <w:tc>
          <w:tcPr>
            <w:tcW w:type="dxa" w:w="1800"/>
            <w:tcMar>
              <w:top w:type="dxa" w:w="60"/>
              <w:left w:type="dxa" w:w="100"/>
              <w:bottom w:type="dxa" w:w="60"/>
              <w:right w:type="dxa" w:w="100"/>
            </w:tcMar>
          </w:tcPr>
          <w:p>
            <w:pPr>
              <w:jc w:val="center"/>
            </w:pPr>
            <w:r>
              <w:rPr>
                <w:b w:val="false"/>
                <w:bCs w:val="false"/>
              </w:rPr>
              <w:t xml:space="preserve">86.35</w:t>
            </w:r>
          </w:p>
        </w:tc>
        <w:tc>
          <w:tcPr>
            <w:tcW w:type="dxa" w:w="1800"/>
            <w:tcMar>
              <w:top w:type="dxa" w:w="60"/>
              <w:left w:type="dxa" w:w="100"/>
              <w:bottom w:type="dxa" w:w="60"/>
              <w:right w:type="dxa" w:w="100"/>
            </w:tcMar>
          </w:tcPr>
          <w:p>
            <w:pPr>
              <w:jc w:val="center"/>
            </w:pPr>
            <w:r>
              <w:rPr>
                <w:b w:val="false"/>
                <w:bCs w:val="false"/>
              </w:rPr>
              <w:t xml:space="preserve">0.9264</w:t>
            </w:r>
          </w:p>
        </w:tc>
      </w:tr>
      <w:tr>
        <w:tc>
          <w:tcPr>
            <w:tcW w:type="dxa" w:w="1400"/>
            <w:tcMar>
              <w:top w:type="dxa" w:w="60"/>
              <w:left w:type="dxa" w:w="100"/>
              <w:bottom w:type="dxa" w:w="60"/>
              <w:right w:type="dxa" w:w="100"/>
            </w:tcMar>
          </w:tcPr>
          <w:p>
            <w:pPr>
              <w:jc w:val="center"/>
            </w:pPr>
            <w:r>
              <w:rPr>
                <w:b w:val="false"/>
                <w:bCs w:val="false"/>
              </w:rPr>
              <w:t xml:space="preserve">2</w:t>
            </w:r>
          </w:p>
        </w:tc>
        <w:tc>
          <w:tcPr>
            <w:tcW w:type="dxa" w:w="1800"/>
            <w:tcMar>
              <w:top w:type="dxa" w:w="60"/>
              <w:left w:type="dxa" w:w="100"/>
              <w:bottom w:type="dxa" w:w="60"/>
              <w:right w:type="dxa" w:w="100"/>
            </w:tcMar>
          </w:tcPr>
          <w:p>
            <w:pPr>
              <w:jc w:val="center"/>
            </w:pPr>
            <w:r>
              <w:rPr>
                <w:b w:val="false"/>
                <w:bCs w:val="false"/>
              </w:rPr>
              <w:t xml:space="preserve">254</w:t>
            </w:r>
          </w:p>
        </w:tc>
        <w:tc>
          <w:tcPr>
            <w:tcW w:type="dxa" w:w="1800"/>
            <w:tcMar>
              <w:top w:type="dxa" w:w="60"/>
              <w:left w:type="dxa" w:w="100"/>
              <w:bottom w:type="dxa" w:w="60"/>
              <w:right w:type="dxa" w:w="100"/>
            </w:tcMar>
          </w:tcPr>
          <w:p>
            <w:pPr>
              <w:jc w:val="center"/>
            </w:pPr>
            <w:r>
              <w:rPr>
                <w:b w:val="false"/>
                <w:bCs w:val="false"/>
              </w:rPr>
              <w:t xml:space="preserve">81.99</w:t>
            </w:r>
          </w:p>
        </w:tc>
        <w:tc>
          <w:tcPr>
            <w:tcW w:type="dxa" w:w="1800"/>
            <w:tcMar>
              <w:top w:type="dxa" w:w="60"/>
              <w:left w:type="dxa" w:w="100"/>
              <w:bottom w:type="dxa" w:w="60"/>
              <w:right w:type="dxa" w:w="100"/>
            </w:tcMar>
          </w:tcPr>
          <w:p>
            <w:pPr>
              <w:jc w:val="center"/>
            </w:pPr>
            <w:r>
              <w:rPr>
                <w:b w:val="false"/>
                <w:bCs w:val="false"/>
              </w:rPr>
              <w:t xml:space="preserve">85.43</w:t>
            </w:r>
          </w:p>
        </w:tc>
        <w:tc>
          <w:tcPr>
            <w:tcW w:type="dxa" w:w="1800"/>
            <w:tcMar>
              <w:top w:type="dxa" w:w="60"/>
              <w:left w:type="dxa" w:w="100"/>
              <w:bottom w:type="dxa" w:w="60"/>
              <w:right w:type="dxa" w:w="100"/>
            </w:tcMar>
          </w:tcPr>
          <w:p>
            <w:pPr>
              <w:jc w:val="center"/>
            </w:pPr>
            <w:r>
              <w:rPr>
                <w:b w:val="false"/>
                <w:bCs w:val="false"/>
              </w:rPr>
              <w:t xml:space="preserve">0.9124</w:t>
            </w:r>
          </w:p>
        </w:tc>
      </w:tr>
      <w:tr>
        <w:tc>
          <w:tcPr>
            <w:tcW w:type="dxa" w:w="1400"/>
            <w:tcMar>
              <w:top w:type="dxa" w:w="60"/>
              <w:left w:type="dxa" w:w="100"/>
              <w:bottom w:type="dxa" w:w="60"/>
              <w:right w:type="dxa" w:w="100"/>
            </w:tcMar>
          </w:tcPr>
          <w:p>
            <w:pPr>
              <w:jc w:val="center"/>
            </w:pPr>
            <w:r>
              <w:rPr>
                <w:b w:val="false"/>
                <w:bCs w:val="false"/>
              </w:rPr>
              <w:t xml:space="preserve">3</w:t>
            </w:r>
          </w:p>
        </w:tc>
        <w:tc>
          <w:tcPr>
            <w:tcW w:type="dxa" w:w="1800"/>
            <w:tcMar>
              <w:top w:type="dxa" w:w="60"/>
              <w:left w:type="dxa" w:w="100"/>
              <w:bottom w:type="dxa" w:w="60"/>
              <w:right w:type="dxa" w:w="100"/>
            </w:tcMar>
          </w:tcPr>
          <w:p>
            <w:pPr>
              <w:jc w:val="center"/>
            </w:pPr>
            <w:r>
              <w:rPr>
                <w:b w:val="false"/>
                <w:bCs w:val="false"/>
              </w:rPr>
              <w:t xml:space="preserve">246</w:t>
            </w:r>
          </w:p>
        </w:tc>
        <w:tc>
          <w:tcPr>
            <w:tcW w:type="dxa" w:w="1800"/>
            <w:tcMar>
              <w:top w:type="dxa" w:w="60"/>
              <w:left w:type="dxa" w:w="100"/>
              <w:bottom w:type="dxa" w:w="60"/>
              <w:right w:type="dxa" w:w="100"/>
            </w:tcMar>
          </w:tcPr>
          <w:p>
            <w:pPr>
              <w:jc w:val="center"/>
            </w:pPr>
            <w:r>
              <w:rPr>
                <w:b w:val="false"/>
                <w:bCs w:val="false"/>
              </w:rPr>
              <w:t xml:space="preserve">85.27</w:t>
            </w:r>
          </w:p>
        </w:tc>
        <w:tc>
          <w:tcPr>
            <w:tcW w:type="dxa" w:w="1800"/>
            <w:tcMar>
              <w:top w:type="dxa" w:w="60"/>
              <w:left w:type="dxa" w:w="100"/>
              <w:bottom w:type="dxa" w:w="60"/>
              <w:right w:type="dxa" w:w="100"/>
            </w:tcMar>
          </w:tcPr>
          <w:p>
            <w:pPr>
              <w:jc w:val="center"/>
            </w:pPr>
            <w:r>
              <w:rPr>
                <w:b w:val="false"/>
                <w:bCs w:val="false"/>
              </w:rPr>
              <w:t xml:space="preserve">87.80</w:t>
            </w:r>
          </w:p>
        </w:tc>
        <w:tc>
          <w:tcPr>
            <w:tcW w:type="dxa" w:w="1800"/>
            <w:tcMar>
              <w:top w:type="dxa" w:w="60"/>
              <w:left w:type="dxa" w:w="100"/>
              <w:bottom w:type="dxa" w:w="60"/>
              <w:right w:type="dxa" w:w="100"/>
            </w:tcMar>
          </w:tcPr>
          <w:p>
            <w:pPr>
              <w:jc w:val="center"/>
            </w:pPr>
            <w:r>
              <w:rPr>
                <w:b w:val="false"/>
                <w:bCs w:val="false"/>
              </w:rPr>
              <w:t xml:space="preserve">0.9519</w:t>
            </w:r>
          </w:p>
        </w:tc>
      </w:tr>
      <w:tr>
        <w:tc>
          <w:tcPr>
            <w:tcW w:type="dxa" w:w="1400"/>
            <w:tcMar>
              <w:top w:type="dxa" w:w="60"/>
              <w:left w:type="dxa" w:w="100"/>
              <w:bottom w:type="dxa" w:w="60"/>
              <w:right w:type="dxa" w:w="100"/>
            </w:tcMar>
          </w:tcPr>
          <w:p>
            <w:pPr>
              <w:jc w:val="center"/>
            </w:pPr>
            <w:r>
              <w:rPr>
                <w:b w:val="false"/>
                <w:bCs w:val="false"/>
              </w:rPr>
              <w:t xml:space="preserve">4</w:t>
            </w:r>
          </w:p>
        </w:tc>
        <w:tc>
          <w:tcPr>
            <w:tcW w:type="dxa" w:w="1800"/>
            <w:tcMar>
              <w:top w:type="dxa" w:w="60"/>
              <w:left w:type="dxa" w:w="100"/>
              <w:bottom w:type="dxa" w:w="60"/>
              <w:right w:type="dxa" w:w="100"/>
            </w:tcMar>
          </w:tcPr>
          <w:p>
            <w:pPr>
              <w:jc w:val="center"/>
            </w:pPr>
            <w:r>
              <w:rPr>
                <w:b w:val="false"/>
                <w:bCs w:val="false"/>
              </w:rPr>
              <w:t xml:space="preserve">284</w:t>
            </w:r>
          </w:p>
        </w:tc>
        <w:tc>
          <w:tcPr>
            <w:tcW w:type="dxa" w:w="1800"/>
            <w:tcMar>
              <w:top w:type="dxa" w:w="60"/>
              <w:left w:type="dxa" w:w="100"/>
              <w:bottom w:type="dxa" w:w="60"/>
              <w:right w:type="dxa" w:w="100"/>
            </w:tcMar>
          </w:tcPr>
          <w:p>
            <w:pPr>
              <w:jc w:val="center"/>
            </w:pPr>
            <w:r>
              <w:rPr>
                <w:b w:val="false"/>
                <w:bCs w:val="false"/>
              </w:rPr>
              <w:t xml:space="preserve">78.80</w:t>
            </w:r>
          </w:p>
        </w:tc>
        <w:tc>
          <w:tcPr>
            <w:tcW w:type="dxa" w:w="1800"/>
            <w:tcMar>
              <w:top w:type="dxa" w:w="60"/>
              <w:left w:type="dxa" w:w="100"/>
              <w:bottom w:type="dxa" w:w="60"/>
              <w:right w:type="dxa" w:w="100"/>
            </w:tcMar>
          </w:tcPr>
          <w:p>
            <w:pPr>
              <w:jc w:val="center"/>
            </w:pPr>
            <w:r>
              <w:rPr>
                <w:b w:val="false"/>
                <w:bCs w:val="false"/>
              </w:rPr>
              <w:t xml:space="preserve">83.80</w:t>
            </w:r>
          </w:p>
        </w:tc>
        <w:tc>
          <w:tcPr>
            <w:tcW w:type="dxa" w:w="1800"/>
            <w:tcMar>
              <w:top w:type="dxa" w:w="60"/>
              <w:left w:type="dxa" w:w="100"/>
              <w:bottom w:type="dxa" w:w="60"/>
              <w:right w:type="dxa" w:w="100"/>
            </w:tcMar>
          </w:tcPr>
          <w:p>
            <w:pPr>
              <w:jc w:val="center"/>
            </w:pPr>
            <w:r>
              <w:rPr>
                <w:b w:val="false"/>
                <w:bCs w:val="false"/>
              </w:rPr>
              <w:t xml:space="preserve">0.9043</w:t>
            </w:r>
          </w:p>
        </w:tc>
      </w:tr>
      <w:tr>
        <w:tc>
          <w:tcPr>
            <w:tcW w:type="dxa" w:w="1400"/>
            <w:tcMar>
              <w:top w:type="dxa" w:w="60"/>
              <w:left w:type="dxa" w:w="100"/>
              <w:bottom w:type="dxa" w:w="60"/>
              <w:right w:type="dxa" w:w="100"/>
            </w:tcMar>
          </w:tcPr>
          <w:p>
            <w:pPr>
              <w:jc w:val="center"/>
            </w:pPr>
            <w:r>
              <w:rPr>
                <w:b w:val="false"/>
                <w:bCs w:val="false"/>
              </w:rPr>
              <w:t xml:space="preserve">5</w:t>
            </w:r>
          </w:p>
        </w:tc>
        <w:tc>
          <w:tcPr>
            <w:tcW w:type="dxa" w:w="1800"/>
            <w:tcMar>
              <w:top w:type="dxa" w:w="60"/>
              <w:left w:type="dxa" w:w="100"/>
              <w:bottom w:type="dxa" w:w="60"/>
              <w:right w:type="dxa" w:w="100"/>
            </w:tcMar>
          </w:tcPr>
          <w:p>
            <w:pPr>
              <w:jc w:val="center"/>
            </w:pPr>
            <w:r>
              <w:rPr>
                <w:b w:val="false"/>
                <w:bCs w:val="false"/>
              </w:rPr>
              <w:t xml:space="preserve">228</w:t>
            </w:r>
          </w:p>
        </w:tc>
        <w:tc>
          <w:tcPr>
            <w:tcW w:type="dxa" w:w="1800"/>
            <w:tcMar>
              <w:top w:type="dxa" w:w="60"/>
              <w:left w:type="dxa" w:w="100"/>
              <w:bottom w:type="dxa" w:w="60"/>
              <w:right w:type="dxa" w:w="100"/>
            </w:tcMar>
          </w:tcPr>
          <w:p>
            <w:pPr>
              <w:jc w:val="center"/>
            </w:pPr>
            <w:r>
              <w:rPr>
                <w:b w:val="false"/>
                <w:bCs w:val="false"/>
              </w:rPr>
              <w:t xml:space="preserve">82.90</w:t>
            </w:r>
          </w:p>
        </w:tc>
        <w:tc>
          <w:tcPr>
            <w:tcW w:type="dxa" w:w="1800"/>
            <w:tcMar>
              <w:top w:type="dxa" w:w="60"/>
              <w:left w:type="dxa" w:w="100"/>
              <w:bottom w:type="dxa" w:w="60"/>
              <w:right w:type="dxa" w:w="100"/>
            </w:tcMar>
          </w:tcPr>
          <w:p>
            <w:pPr>
              <w:jc w:val="center"/>
            </w:pPr>
            <w:r>
              <w:rPr>
                <w:b w:val="false"/>
                <w:bCs w:val="false"/>
              </w:rPr>
              <w:t xml:space="preserve">84.65</w:t>
            </w:r>
          </w:p>
        </w:tc>
        <w:tc>
          <w:tcPr>
            <w:tcW w:type="dxa" w:w="1800"/>
            <w:tcMar>
              <w:top w:type="dxa" w:w="60"/>
              <w:left w:type="dxa" w:w="100"/>
              <w:bottom w:type="dxa" w:w="60"/>
              <w:right w:type="dxa" w:w="100"/>
            </w:tcMar>
          </w:tcPr>
          <w:p>
            <w:pPr>
              <w:jc w:val="center"/>
            </w:pPr>
            <w:r>
              <w:rPr>
                <w:b w:val="false"/>
                <w:bCs w:val="false"/>
              </w:rPr>
              <w:t xml:space="preserve">0.8878</w:t>
            </w:r>
          </w:p>
        </w:tc>
      </w:tr>
    </w:tbl>
    <w:p>
      <w:pPr>
        <w:spacing w:after="100"/>
      </w:pPr>
      <w:r>
        <w:rPr>
          <w:b/>
          <w:bCs/>
        </w:rPr>
        <w:t xml:space="preserve">Matriz de confusión pooled (TP=295, FP=55, FN=127, TN=784, N=1261):</w:t>
      </w:r>
    </w:p>
    <w:p>
      <w:pPr>
        <w:spacing w:after="100"/>
      </w:pPr>
      <w:r>
        <w:t xml:space="preserve">F1_fresco = 2×84.29×69.91/(84.29+69.91) = 76.42</w:t>
      </w:r>
    </w:p>
    <w:p>
      <w:pPr>
        <w:spacing w:after="100"/>
      </w:pPr>
      <w:r>
        <w:t xml:space="preserve">F1_no_fresco = 2×86.06×93.44/(86.06+93.44) = 89.60</w:t>
      </w:r>
    </w:p>
    <w:p>
      <w:pPr>
        <w:spacing w:after="100"/>
      </w:pPr>
      <w:r>
        <w:t xml:space="preserve">F1 macro = (76.42+89.60)/2 = 83.01   (valor guardado: 83.01)</w:t>
      </w:r>
    </w:p>
    <w:p>
      <w:pPr>
        <w:spacing w:after="100"/>
      </w:pPr>
      <w:r>
        <w:t xml:space="preserve">Accuracy = (295+784) / 1261 × 100 = 85.57</w:t>
      </w:r>
    </w:p>
    <w:p>
      <w:pPr>
        <w:spacing w:after="20" w:before="80"/>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095500"/>
                    </a:xfrm>
                    <a:prstGeom prst="rect">
                      <a:avLst/>
                    </a:prstGeom>
                  </pic:spPr>
                </pic:pic>
              </a:graphicData>
            </a:graphic>
          </wp:inline>
        </w:drawing>
      </w:r>
      <w:r>
        <w:t xml:space="preserve">   </w:t>
      </w: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095500"/>
                    </a:xfrm>
                    <a:prstGeom prst="rect">
                      <a:avLst/>
                    </a:prstGeom>
                  </pic:spPr>
                </pic:pic>
              </a:graphicData>
            </a:graphic>
          </wp:inline>
        </w:drawing>
      </w:r>
    </w:p>
    <w:p>
      <w:pPr>
        <w:spacing w:after="160" w:before="40"/>
        <w:jc w:val="center"/>
      </w:pPr>
      <w:r>
        <w:rPr>
          <w:i/>
          <w:iCs/>
          <w:color w:val="555555"/>
          <w:sz w:val="18"/>
          <w:szCs w:val="18"/>
        </w:rPr>
        <w:t xml:space="preserve">DenseNet-121 — Rohu, sin augmentación x2 — matriz de confusión pooled (izq.) y curva ROC pooled (der.), AUC = 0.9140.</w:t>
      </w:r>
    </w:p>
    <w:p>
      <w:pPr>
        <w:pStyle w:val="Heading1"/>
        <w:spacing w:after="120" w:before="240"/>
      </w:pPr>
      <w:r>
        <w:t xml:space="preserve">Anexo A. Trazabilidad de archivos fuente</w:t>
      </w:r>
    </w:p>
    <w:p>
      <w:pPr>
        <w:spacing w:after="100"/>
      </w:pPr>
      <w:r>
        <w:t xml:space="preserve">Todos los números de este documento provienen de archivos reales, sin datos simulados.</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4000"/>
        <w:gridCol w:w="8400"/>
      </w:tblGrid>
      <w:tr>
        <w:trPr>
          <w:tblHeader/>
        </w:trPr>
        <w:tc>
          <w:tcPr>
            <w:tcW w:type="dxa" w:w="4000"/>
            <w:shd w:fill="D9E2F3" w:val="clear"/>
            <w:tcMar>
              <w:top w:type="dxa" w:w="60"/>
              <w:left w:type="dxa" w:w="100"/>
              <w:bottom w:type="dxa" w:w="60"/>
              <w:right w:type="dxa" w:w="100"/>
            </w:tcMar>
          </w:tcPr>
          <w:p>
            <w:pPr>
              <w:jc w:val="center"/>
            </w:pPr>
            <w:r>
              <w:rPr>
                <w:b/>
                <w:bCs/>
              </w:rPr>
              <w:t xml:space="preserve">Qué</w:t>
            </w:r>
          </w:p>
        </w:tc>
        <w:tc>
          <w:tcPr>
            <w:tcW w:type="dxa" w:w="8400"/>
            <w:shd w:fill="D9E2F3" w:val="clear"/>
            <w:tcMar>
              <w:top w:type="dxa" w:w="60"/>
              <w:left w:type="dxa" w:w="100"/>
              <w:bottom w:type="dxa" w:w="60"/>
              <w:right w:type="dxa" w:w="100"/>
            </w:tcMar>
          </w:tcPr>
          <w:p>
            <w:pPr>
              <w:jc w:val="center"/>
            </w:pPr>
            <w:r>
              <w:rPr>
                <w:b/>
                <w:bCs/>
              </w:rPr>
              <w:t xml:space="preserve">Dónde</w:t>
            </w:r>
          </w:p>
        </w:tc>
      </w:tr>
      <w:tr>
        <w:tc>
          <w:tcPr>
            <w:tcW w:type="dxa" w:w="4000"/>
            <w:tcMar>
              <w:top w:type="dxa" w:w="60"/>
              <w:left w:type="dxa" w:w="100"/>
              <w:bottom w:type="dxa" w:w="60"/>
              <w:right w:type="dxa" w:w="100"/>
            </w:tcMar>
          </w:tcPr>
          <w:p>
            <w:pPr>
              <w:jc w:val="center"/>
            </w:pPr>
            <w:r>
              <w:rPr>
                <w:b w:val="false"/>
                <w:bCs w:val="false"/>
              </w:rPr>
              <w:t xml:space="preserve">Código de entrenamiento y evaluación</w:t>
            </w:r>
          </w:p>
        </w:tc>
        <w:tc>
          <w:tcPr>
            <w:tcW w:type="dxa" w:w="8400"/>
            <w:tcMar>
              <w:top w:type="dxa" w:w="60"/>
              <w:left w:type="dxa" w:w="100"/>
              <w:bottom w:type="dxa" w:w="60"/>
              <w:right w:type="dxa" w:w="100"/>
            </w:tcMar>
          </w:tcPr>
          <w:p>
            <w:pPr>
              <w:jc w:val="center"/>
            </w:pPr>
            <w:r>
              <w:rPr>
                <w:b w:val="false"/>
                <w:bCs w:val="false"/>
              </w:rPr>
              <w:t xml:space="preserve">1_codigo/finetune_target_x2.py, experimento_dataset_mixto.py, linear_probe_confmat_roc.py</w:t>
            </w:r>
          </w:p>
        </w:tc>
      </w:tr>
      <w:tr>
        <w:tc>
          <w:tcPr>
            <w:tcW w:type="dxa" w:w="4000"/>
            <w:tcMar>
              <w:top w:type="dxa" w:w="60"/>
              <w:left w:type="dxa" w:w="100"/>
              <w:bottom w:type="dxa" w:w="60"/>
              <w:right w:type="dxa" w:w="100"/>
            </w:tcMar>
          </w:tcPr>
          <w:p>
            <w:pPr>
              <w:jc w:val="center"/>
            </w:pPr>
            <w:r>
              <w:rPr>
                <w:b w:val="false"/>
                <w:bCs w:val="false"/>
              </w:rPr>
              <w:t xml:space="preserve">Logs de entrenamiento</w:t>
            </w:r>
          </w:p>
        </w:tc>
        <w:tc>
          <w:tcPr>
            <w:tcW w:type="dxa" w:w="8400"/>
            <w:tcMar>
              <w:top w:type="dxa" w:w="60"/>
              <w:left w:type="dxa" w:w="100"/>
              <w:bottom w:type="dxa" w:w="60"/>
              <w:right w:type="dxa" w:w="100"/>
            </w:tcMar>
          </w:tcPr>
          <w:p>
            <w:pPr>
              <w:jc w:val="center"/>
            </w:pPr>
            <w:r>
              <w:rPr>
                <w:b w:val="false"/>
                <w:bCs w:val="false"/>
              </w:rPr>
              <w:t xml:space="preserve">2_logs/trucha_congelado_sinx2.log, 2_logs/rohu_congelado_sinx2.log, 2_logs/rohu_confmat_roc.log</w:t>
            </w:r>
          </w:p>
        </w:tc>
      </w:tr>
      <w:tr>
        <w:tc>
          <w:tcPr>
            <w:tcW w:type="dxa" w:w="4000"/>
            <w:tcMar>
              <w:top w:type="dxa" w:w="60"/>
              <w:left w:type="dxa" w:w="100"/>
              <w:bottom w:type="dxa" w:w="60"/>
              <w:right w:type="dxa" w:w="100"/>
            </w:tcMar>
          </w:tcPr>
          <w:p>
            <w:pPr>
              <w:jc w:val="center"/>
            </w:pPr>
            <w:r>
              <w:rPr>
                <w:b w:val="false"/>
                <w:bCs w:val="false"/>
              </w:rPr>
              <w:t xml:space="preserve">Resultados por fold y resumen</w:t>
            </w:r>
          </w:p>
        </w:tc>
        <w:tc>
          <w:tcPr>
            <w:tcW w:type="dxa" w:w="8400"/>
            <w:tcMar>
              <w:top w:type="dxa" w:w="60"/>
              <w:left w:type="dxa" w:w="100"/>
              <w:bottom w:type="dxa" w:w="60"/>
              <w:right w:type="dxa" w:w="100"/>
            </w:tcMar>
          </w:tcPr>
          <w:p>
            <w:pPr>
              <w:jc w:val="center"/>
            </w:pPr>
            <w:r>
              <w:rPr>
                <w:b w:val="false"/>
                <w:bCs w:val="false"/>
              </w:rPr>
              <w:t xml:space="preserve">3_resultados/{trucha,rohu}/congelado_sinx2_{por_fold,resumen}.csv</w:t>
            </w:r>
          </w:p>
        </w:tc>
      </w:tr>
      <w:tr>
        <w:tc>
          <w:tcPr>
            <w:tcW w:type="dxa" w:w="4000"/>
            <w:tcMar>
              <w:top w:type="dxa" w:w="60"/>
              <w:left w:type="dxa" w:w="100"/>
              <w:bottom w:type="dxa" w:w="60"/>
              <w:right w:type="dxa" w:w="100"/>
            </w:tcMar>
          </w:tcPr>
          <w:p>
            <w:pPr>
              <w:jc w:val="center"/>
            </w:pPr>
            <w:r>
              <w:rPr>
                <w:b w:val="false"/>
                <w:bCs w:val="false"/>
              </w:rPr>
              <w:t xml:space="preserve">Matrices de confusión y curvas ROC</w:t>
            </w:r>
          </w:p>
        </w:tc>
        <w:tc>
          <w:tcPr>
            <w:tcW w:type="dxa" w:w="8400"/>
            <w:tcMar>
              <w:top w:type="dxa" w:w="60"/>
              <w:left w:type="dxa" w:w="100"/>
              <w:bottom w:type="dxa" w:w="60"/>
              <w:right w:type="dxa" w:w="100"/>
            </w:tcMar>
          </w:tcPr>
          <w:p>
            <w:pPr>
              <w:jc w:val="center"/>
            </w:pPr>
            <w:r>
              <w:rPr>
                <w:b w:val="false"/>
                <w:bCs w:val="false"/>
              </w:rPr>
              <w:t xml:space="preserve">4_graficas/{trucha,rohu}_sinx2/{modelo}/</w:t>
            </w:r>
          </w:p>
        </w:tc>
      </w:tr>
      <w:tr>
        <w:tc>
          <w:tcPr>
            <w:tcW w:type="dxa" w:w="4000"/>
            <w:tcMar>
              <w:top w:type="dxa" w:w="60"/>
              <w:left w:type="dxa" w:w="100"/>
              <w:bottom w:type="dxa" w:w="60"/>
              <w:right w:type="dxa" w:w="100"/>
            </w:tcMar>
          </w:tcPr>
          <w:p>
            <w:pPr>
              <w:jc w:val="center"/>
            </w:pPr>
            <w:r>
              <w:rPr>
                <w:b w:val="false"/>
                <w:bCs w:val="false"/>
              </w:rPr>
              <w:t xml:space="preserve">F1 macro de Mendeley (dominio fuente)</w:t>
            </w:r>
          </w:p>
        </w:tc>
        <w:tc>
          <w:tcPr>
            <w:tcW w:type="dxa" w:w="8400"/>
            <w:tcMar>
              <w:top w:type="dxa" w:w="60"/>
              <w:left w:type="dxa" w:w="100"/>
              <w:bottom w:type="dxa" w:w="60"/>
              <w:right w:type="dxa" w:w="100"/>
            </w:tcMar>
          </w:tcPr>
          <w:p>
            <w:pPr>
              <w:jc w:val="center"/>
            </w:pPr>
            <w:r>
              <w:rPr>
                <w:b w:val="false"/>
                <w:bCs w:val="false"/>
              </w:rPr>
              <w:t xml:space="preserve">resultados/reportes/dnc_5fold_confmat_roc/metricas_pooled_por_modelo.csv</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 Type="http://schemas.openxmlformats.org/officeDocument/2006/relationships/image" Target="media/bc7976f92b5929fb29aa8e303974135383d92e85.png"/><Relationship Id="rId10" Type="http://schemas.openxmlformats.org/officeDocument/2006/relationships/image" Target="media/6af5fea3dec0df41ab651d4effb88d3e953b37a4.png"/><Relationship Id="rId13" Type="http://schemas.openxmlformats.org/officeDocument/2006/relationships/image" Target="media/97df10e84cf21e60f0b344d3e0a4ad9b87293cf3.png"/><Relationship Id="rId14" Type="http://schemas.openxmlformats.org/officeDocument/2006/relationships/image" Target="media/5459fe5080ba6d89931a1df3eff638aacb247c3b.png"/><Relationship Id="rId17" Type="http://schemas.openxmlformats.org/officeDocument/2006/relationships/image" Target="media/c1a5b556a741a33820a338b9ad3d72ad0ab9177d.png"/><Relationship Id="rId18" Type="http://schemas.openxmlformats.org/officeDocument/2006/relationships/image" Target="media/80c937aa4f44091401e11ef1a059ec2bb2d84ffb.png"/><Relationship Id="rId21" Type="http://schemas.openxmlformats.org/officeDocument/2006/relationships/image" Target="media/f17c66a659e22555da5e6a7dddca36c7acd5ffa5.png"/><Relationship Id="rId22" Type="http://schemas.openxmlformats.org/officeDocument/2006/relationships/image" Target="media/4ff48c327c3aae1581488674bbe3831bf61b9b42.png"/><Relationship Id="rId2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2026-09-23T16:12:02.312Z</dcterms:created>
  <dcterms:modified xsi:type="dcterms:W3CDTF">2026-09-23T16:12:02.315Z</dcterms:modified>
</cp:coreProperties>
</file>

<file path=docProps/custom.xml><?xml version="1.0" encoding="utf-8"?>
<Properties xmlns="http://schemas.openxmlformats.org/officeDocument/2006/custom-properties" xmlns:vt="http://schemas.openxmlformats.org/officeDocument/2006/docPropsVTypes"/>
</file>