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Indicadores de Robustez ante el Cambio de Dominio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Tasa de Retención (TRD), Brecha de Error (Gap) y Reducción de Brecha (RBE) — ViT-Base/16 vs. DenseNet-121 (linear probe, sin x2)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707070"/>
          <w:sz w:val="20"/>
          <w:szCs w:val="20"/>
        </w:rPr>
        <w:t xml:space="preserve">Proyecto Generalizacion_ViT_DenseNet · Miguel Sumaran · 5 de octubre de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0. Datos de partida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dominio fuente es Mendeley Data (Prasetyo et al., 2022a; 8,000 imágenes). Se evalúan dos dominios objetivo independientes: Trucha (OneDrive, Perú; 1,150 imágenes) y Rohu (1,261 imágenes). Todos los valores son F1-Score macro expresados en escala 0–1, tomados de los CSV del repositorio (no simulados).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comparan dos modelos, ViT-Base/16 (Transformer) y DenseNet-121 (CNN), ambos con el mismo método: backbone congelado (entrenado en Mendeley) + entrenamiento de la cabeza de clasificación con imágenes del dominio objetivo (linear probe, 30 épocas, sin augmentación x2, validación cruzada de 5 folds).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99"/>
        <w:gridCol w:w="1842"/>
        <w:gridCol w:w="1842"/>
        <w:gridCol w:w="1843"/>
      </w:tblGrid>
      <w:tr>
        <w:trPr>
          <w:tblHeader/>
        </w:trPr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Source: Mendeley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Trucha</w:t>
            </w:r>
          </w:p>
        </w:tc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Rohu</w:t>
            </w:r>
          </w:p>
        </w:tc>
      </w:tr>
      <w:tr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DenseNet-121 (CNN, baseline)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0.9566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0.8088</w:t>
            </w:r>
          </w:p>
        </w:tc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0.8285</w:t>
            </w:r>
          </w:p>
        </w:tc>
      </w:tr>
      <w:tr>
        <w:tc>
          <w:tcPr>
            <w:tcW w:type="dxa" w:w="3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ViT-Base/16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0.9696</w:t>
            </w:r>
          </w:p>
        </w:tc>
        <w:tc>
          <w:tcPr>
            <w:tcW w:type="dxa" w:w="184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0.8611</w:t>
            </w:r>
          </w:p>
        </w:tc>
        <w:tc>
          <w:tcPr>
            <w:tcW w:type="dxa" w:w="184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0.8817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F1 fuente: F1 macro pooled DNC 5-fold en Mendeley. F1 objetivo: media de los 5 folds. Archivos: 3_resultados/{trucha,rohu}/congelado_sinx2_resumen.csv.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Evaluación in-dataset y cross-dataset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429"/>
        <w:gridCol w:w="3431"/>
      </w:tblGrid>
      <w:tr>
        <w:trPr>
          <w:tblHeader/>
        </w:trPr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3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Entrenamiento</w:t>
            </w:r>
          </w:p>
        </w:tc>
        <w:tc>
          <w:tcPr>
            <w:tcW w:type="dxa" w:w="3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In-dataset</w:t>
            </w:r>
          </w:p>
        </w:tc>
        <w:tc>
          <w:tcPr>
            <w:tcW w:type="dxa" w:w="3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Mendeley – entrenamiento (5 folds)</w:t>
            </w:r>
          </w:p>
        </w:tc>
        <w:tc>
          <w:tcPr>
            <w:tcW w:type="dxa" w:w="3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Mendeley – validación</w:t>
            </w:r>
          </w:p>
        </w:tc>
      </w:tr>
      <w:tr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Cross-dataset 1</w:t>
            </w:r>
          </w:p>
        </w:tc>
        <w:tc>
          <w:tcPr>
            <w:tcW w:type="dxa" w:w="3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Backbone de Mendeley + cabeza entrenada en Trucha (folds de entrenamiento)</w:t>
            </w:r>
          </w:p>
        </w:tc>
        <w:tc>
          <w:tcPr>
            <w:tcW w:type="dxa" w:w="3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Trucha – folds de validación</w:t>
            </w:r>
          </w:p>
        </w:tc>
      </w:tr>
      <w:tr>
        <w:tc>
          <w:tcPr>
            <w:tcW w:type="dxa" w:w="21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Cross-dataset 2</w:t>
            </w:r>
          </w:p>
        </w:tc>
        <w:tc>
          <w:tcPr>
            <w:tcW w:type="dxa" w:w="34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Backbone de Mendeley + cabeza entrenada en Rohu (folds de entrenamiento)</w:t>
            </w:r>
          </w:p>
        </w:tc>
        <w:tc>
          <w:tcPr>
            <w:tcW w:type="dxa" w:w="34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Rohu – folds de validación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Cada fold del dominio objetivo parte del checkpoint de Mendeley del mismo índice (fold i → fold i); el backbone permanece congelado y solo se ajusta la cabeza de clasificación. Trucha y Rohu se evalúan por separado.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Tasa de Retención del Desempeño (TRD)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La TRD indica qué porcentaje del desempeño obtenido en Mendeley conserva el modelo al evaluarse en otro dominio: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TRDⱼ = (F1_Targetⱼ / F1_Source) × 100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Donde F1_Source es el F1 macro en Mendeley y F1_Targetⱼ el F1 macro en el dominio objetivo j (j = Trucha o Rohu). Una tasa cercana a 100 % indica poca degradación.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2.1. DenseNet-121 (CNN, baseline)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TRD_Trucha = (0.8088 / 0.9566) × 100 = 84.55 %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TRD_Rohu = (0.8285 / 0.9566) × 100 = 86.61 %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Interpretación: conserva el 84.55 % de su desempeño al pasar de Mendeley a Trucha y el 86.61 % al pasar a Rohu.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2.2. ViT-Base/16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TRD_Trucha = (0.8611 / 0.9696) × 100 = 88.81 %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TRD_Rohu = (0.8817 / 0.9696) × 100 = 90.93 %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Interpretación: conserva el 88.81 % de su desempeño al pasar de Mendeley a Trucha y el 90.93 % al pasar a Rohu.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Tabla completa de retención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992"/>
        <w:gridCol w:w="992"/>
        <w:gridCol w:w="992"/>
        <w:gridCol w:w="1083"/>
        <w:gridCol w:w="1083"/>
        <w:gridCol w:w="1177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Source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Trucha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Rohu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TRD Trucha (%)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TRD Rohu (%)</w:t>
            </w:r>
          </w:p>
        </w:tc>
        <w:tc>
          <w:tcPr>
            <w:tcW w:type="dxa" w:w="1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TRD prom. (%)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DenseNet-121 (CNN, baseline)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0.9566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0.8088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0.8285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84.55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86.61</w:t>
            </w:r>
          </w:p>
        </w:tc>
        <w:tc>
          <w:tcPr>
            <w:tcW w:type="dxa" w:w="1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85.58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ViT-Base/16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0.9696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0.8611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0.8817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88.81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90.93</w:t>
            </w:r>
          </w:p>
        </w:tc>
        <w:tc>
          <w:tcPr>
            <w:tcW w:type="dxa" w:w="117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89.87</w:t>
            </w:r>
          </w:p>
        </w:tc>
      </w:tr>
    </w:tbl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TRD promedio = (TRD_Trucha + TRD_Rohu) / 2. Por ejemplo, para ViT-Base/16: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TRD_prom = (88.81 + 90.93) / 2 = 89.87 %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Brecha de error entre conjuntos de datos (Gap)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Primero se obtiene el error asociado al F1 macro y luego la brecha entre el error del dominio objetivo y el del dominio fuente: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 = 1 − F1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Gapⱼ = Error_Targetⱼ − Error_Source = F1_Source − F1_Targetⱼ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Cuanto menor sea el Gap, menor es la degradación producida por el cambio de dominio.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3.1. DenseNet-121 (CNN, baseline)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Error_Source = 1 − 0.9566 = 0.0434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Error_Trucha = 1 − 0.8088 = 0.1912   →   Gap_Trucha = 0.1912 − 0.0434 = 0.1478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Error_Rohu = 1 − 0.8285 = 0.1715   →   Gap_Rohu = 0.1715 − 0.0434 = 0.1281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3.2. ViT-Base/16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Error_Source = 1 − 0.9696 = 0.0304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Error_Trucha = 1 − 0.8611 = 0.1389   →   Gap_Trucha = 0.1389 − 0.0304 = 0.1085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Error_Rohu = 1 − 0.8817 = 0.1183   →   Gap_Rohu = 0.1183 − 0.0304 = 0.0879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Tabla completa de errores y brechas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7"/>
        <w:gridCol w:w="1083"/>
        <w:gridCol w:w="992"/>
        <w:gridCol w:w="992"/>
        <w:gridCol w:w="1083"/>
        <w:gridCol w:w="1083"/>
        <w:gridCol w:w="1086"/>
      </w:tblGrid>
      <w:tr>
        <w:trPr>
          <w:tblHeader/>
        </w:trP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Source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Trucha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Error Rohu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Trucha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Rohu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prom.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DenseNet-121 (CNN, baseline)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0.0434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0.1912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0.1715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0.1478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0.1281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0.1380</w:t>
            </w:r>
          </w:p>
        </w:tc>
      </w:tr>
      <w:tr>
        <w:tc>
          <w:tcPr>
            <w:tcW w:type="dxa" w:w="27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ViT-Base/16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0.0304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0.1389</w:t>
            </w:r>
          </w:p>
        </w:tc>
        <w:tc>
          <w:tcPr>
            <w:tcW w:type="dxa" w:w="99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0.1183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0.1085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0.0879</w:t>
            </w:r>
          </w:p>
        </w:tc>
        <w:tc>
          <w:tcPr>
            <w:tcW w:type="dxa" w:w="10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0.0982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Reducción de la Brecha de Error (RBE)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Mide cuánto reduce cada modelo la brecha de error respecto al baseline. Se usa como baseline la CNN DenseNet-121 (la mejor CNN del proyecto), con brechas de 0.1478 en Trucha y 0.1281 en Rohu.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RBEⱼ = (Gap_baseline,ⱼ − Gap_modelo,ⱼ) / Gap_baseline,ⱼ × 100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4.1. ViT-Base/16 frente a DenseNet-121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RBE_Trucha = (0.1478 − 0.1085) / 0.1478 × 100 = 26.59 %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sz w:val="22"/>
          <w:szCs w:val="22"/>
        </w:rPr>
        <w:t xml:space="preserve">RBE_Rohu = (0.1281 − 0.0879) / 0.1281 × 100 = 31.38 %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Tabla completa de reducción de brecha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8"/>
        <w:gridCol w:w="1083"/>
        <w:gridCol w:w="1083"/>
        <w:gridCol w:w="1263"/>
        <w:gridCol w:w="1263"/>
        <w:gridCol w:w="1266"/>
      </w:tblGrid>
      <w:tr>
        <w:trPr>
          <w:tblHeader/>
        </w:trPr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Trucha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Rohu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RBE Trucha (%)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RBE Rohu (%)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RBE prom. (%)</w:t>
            </w:r>
          </w:p>
        </w:tc>
      </w:tr>
      <w:tr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DenseNet-121 (CNN, baseline)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0.1478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0.1281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6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ViT-Base/16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0.1085</w:t>
            </w:r>
          </w:p>
        </w:tc>
        <w:tc>
          <w:tcPr>
            <w:tcW w:type="dxa" w:w="108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0.0879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26.59</w:t>
            </w:r>
          </w:p>
        </w:tc>
        <w:tc>
          <w:tcPr>
            <w:tcW w:type="dxa" w:w="126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31.38</w:t>
            </w:r>
          </w:p>
        </w:tc>
        <w:tc>
          <w:tcPr>
            <w:tcW w:type="dxa" w:w="12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28.99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Tabla consolidada final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3"/>
        <w:gridCol w:w="759"/>
        <w:gridCol w:w="759"/>
        <w:gridCol w:w="759"/>
        <w:gridCol w:w="759"/>
        <w:gridCol w:w="759"/>
        <w:gridCol w:w="759"/>
        <w:gridCol w:w="759"/>
        <w:gridCol w:w="759"/>
        <w:gridCol w:w="761"/>
      </w:tblGrid>
      <w:tr>
        <w:trPr>
          <w:tblHeader/>
        </w:trPr>
        <w:tc>
          <w:tcPr>
            <w:tcW w:type="dxa" w:w="21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Src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Trucha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 Rohu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TRD Trucha %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TRD Rohu %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Trucha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Rohu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RBE Trucha %</w:t>
            </w:r>
          </w:p>
        </w:tc>
        <w:tc>
          <w:tcPr>
            <w:tcW w:type="dxa" w:w="7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RBE Rohu %</w:t>
            </w:r>
          </w:p>
        </w:tc>
      </w:tr>
      <w:tr>
        <w:tc>
          <w:tcPr>
            <w:tcW w:type="dxa" w:w="21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DenseNet-121 (CNN, baseline)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0.9566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0.8088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0.8285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84.55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86.61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0.1478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0.1281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19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ViT-Base/16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0.9696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0.8611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0.8817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88.81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90.93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0.1085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0.0879</w:t>
            </w:r>
          </w:p>
        </w:tc>
        <w:tc>
          <w:tcPr>
            <w:tcW w:type="dxa" w:w="7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26.59</w:t>
            </w:r>
          </w:p>
        </w:tc>
        <w:tc>
          <w:tcPr>
            <w:tcW w:type="dxa" w:w="76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31.38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Interpretación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ViT-Base/16 retiene más desempeño que DenseNet-121 en ambos dominios. </w:t>
      </w:r>
      <w:r>
        <w:rPr>
          <w:rFonts w:ascii="Calibri" w:cs="Calibri" w:eastAsia="Calibri" w:hAnsi="Calibri"/>
          <w:sz w:val="22"/>
          <w:szCs w:val="22"/>
        </w:rPr>
        <w:t xml:space="preserve">El ViT conserva el 88.81 % de su desempeño en Trucha y el 90.93 % en Rohu (promedio 89.87 %), frente a 84.55 % y 86.61 % de la CNN (promedio 85.58 %).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brecha de error del ViT es menor. </w:t>
      </w:r>
      <w:r>
        <w:rPr>
          <w:rFonts w:ascii="Calibri" w:cs="Calibri" w:eastAsia="Calibri" w:hAnsi="Calibri"/>
          <w:sz w:val="22"/>
          <w:szCs w:val="22"/>
        </w:rPr>
        <w:t xml:space="preserve">Gap promedio de 0.0982 frente a 0.1380 de DenseNet-121, lo que equivale a una reducción de la brecha de 26.59 % en Trucha y 31.38 % en Rohu (promedio 28.99 %).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ViT parte además de un F1 fuente más alto </w:t>
      </w:r>
      <w:r>
        <w:rPr>
          <w:rFonts w:ascii="Calibri" w:cs="Calibri" w:eastAsia="Calibri" w:hAnsi="Calibri"/>
          <w:sz w:val="22"/>
          <w:szCs w:val="22"/>
        </w:rPr>
        <w:t xml:space="preserve">(0.9696 vs. 0.9566), por lo que su ventaja no se explica por perder menos desde un punto de partida más bajo: es mejor en el dominio fuente y degrada menos al cambiar de dominio.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Rohu se degrada menos que Trucha en ambos modelos </w:t>
      </w:r>
      <w:r>
        <w:rPr>
          <w:rFonts w:ascii="Calibri" w:cs="Calibri" w:eastAsia="Calibri" w:hAnsi="Calibri"/>
          <w:sz w:val="22"/>
          <w:szCs w:val="22"/>
        </w:rPr>
        <w:t xml:space="preserve">(≈ 2 puntos de TRD más), aunque la diferencia es pequeña frente a la variabilidad entre folds.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7. Consideraciones metodológicas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adaptación usa etiquetas del dominio objetivo. </w:t>
      </w:r>
      <w:r>
        <w:rPr>
          <w:rFonts w:ascii="Calibri" w:cs="Calibri" w:eastAsia="Calibri" w:hAnsi="Calibri"/>
          <w:sz w:val="22"/>
          <w:szCs w:val="22"/>
        </w:rPr>
        <w:t xml:space="preserve">Es una adaptación supervisada (linear probe con backbone congelado), no una adaptación de dominio no supervisada. Los F1 se miden en los folds de validación del dominio objetivo (5-fold CV; StratifiedGroupKFold en Rohu para no separar casi-duplicados).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Variabilidad entre folds. </w:t>
      </w:r>
      <w:r>
        <w:rPr>
          <w:rFonts w:ascii="Calibri" w:cs="Calibri" w:eastAsia="Calibri" w:hAnsi="Calibri"/>
          <w:sz w:val="22"/>
          <w:szCs w:val="22"/>
        </w:rPr>
        <w:t xml:space="preserve">La diferencia entre el peor y el mejor fold es de 7–10 puntos de F1 (ViT: Trucha 86.11 ± 4.24, Rohu 88.17 ± 2.85; DenseNet: Trucha 80.88 ± 3.58, Rohu 82.85 ± 3.68), comparable a la diferencia entre modelos.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2026-10-05T15:57:27.542Z</dcterms:created>
  <dcterms:modified xsi:type="dcterms:W3CDTF">2026-10-05T15:57:27.543Z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