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sz w:val="32"/>
          <w:szCs w:val="32"/>
        </w:rPr>
        <w:t xml:space="preserve">Indicadores de Robustez ante Cambio de Dominio</w:t>
      </w:r>
    </w:p>
    <w:p>
      <w:pPr>
        <w:spacing w:after="260"/>
      </w:pPr>
      <w:r>
        <w:rPr>
          <w:i/>
          <w:iCs/>
          <w:sz w:val="22"/>
          <w:szCs w:val="22"/>
        </w:rPr>
        <w:t xml:space="preserve">Tasa de Retención del Desempeño, Brecha de Error y Reducción de Brecha de Error — ViT-Base/16 y DenseNet-121</w:t>
      </w:r>
    </w:p>
    <w:p>
      <w:pPr>
        <w:spacing w:after="100"/>
      </w:pPr>
      <w:r>
        <w:t xml:space="preserve">Mendeley es el dominio fuente (entrenamiento de los 10 modelos, sección 0 de Documentacion_Tecnica_10_Modelos.docx). OneDrive–Trucha y Kaggle–Rohu constituyen dos evaluaciones cross-dataset independientes, bajo el método congelado (linear probe) del proyecto.</w:t>
      </w:r>
    </w:p>
    <w:p>
      <w:pPr>
        <w:spacing w:after="100"/>
      </w:pPr>
      <w:r>
        <w:rPr>
          <w:b/>
          <w:bCs/>
        </w:rPr>
        <w:t xml:space="preserve">Los datos de partida son los siguientes (F1 macro, escala 0-1):</w:t>
      </w:r>
    </w:p>
    <w:tbl>
      <w:tblPr>
        <w:tblW w:type="dxa" w:w="12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800"/>
        <w:gridCol w:w="2800"/>
      </w:tblGrid>
      <w:tr>
        <w:trPr>
          <w:tblHeader/>
        </w:trPr>
        <w:tc>
          <w:tcPr>
            <w:tcW w:type="dxa" w:w="4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Source: Mendeley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Target 1: OneDrive</w:t>
            </w:r>
          </w:p>
        </w:tc>
        <w:tc>
          <w:tcPr>
            <w:tcW w:type="dxa" w:w="2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Target 2: Kaggle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mejor resultado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— sin augmentación (DA)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</w:tr>
      <w:tr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(x2) — propuesto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</w:tr>
    </w:tbl>
    <w:p>
      <w:pPr>
        <w:spacing w:after="100"/>
      </w:pPr>
      <w:r>
        <w:rPr>
          <w:i/>
          <w:iCs/>
          <w:color w:val="666666"/>
          <w:sz w:val="19"/>
          <w:szCs w:val="19"/>
        </w:rPr>
        <w:t xml:space="preserve">DA = augmentación de datos (x2: cada imagen de entrenamiento aparece 2 veces por época, con una transformación aleatoria independiente). El resultado "CNN — mejor resultado" y "ViT + DA — propuesto" usan ambos la variante con x2 (la mejor de cada arquitectura); la fila "ViT-Base/16 — sin augmentación" es la misma arquitectura sin x2, para aislar el efecto de la augmentación.</w:t>
      </w:r>
    </w:p>
    <w:p>
      <w:pPr>
        <w:pStyle w:val="Heading1"/>
        <w:spacing w:after="120" w:before="240"/>
      </w:pPr>
      <w:r>
        <w:t xml:space="preserve">1. Evaluación in-dataset y cross-dataset</w:t>
      </w:r>
    </w:p>
    <w:p>
      <w:pPr>
        <w:spacing w:after="100"/>
      </w:pPr>
      <w:r>
        <w:t xml:space="preserve">Para cada modelo se realizan tres evaluaciones: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600"/>
        <w:gridCol w:w="46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Tipo de evaluación</w:t>
            </w:r>
          </w:p>
        </w:tc>
        <w:tc>
          <w:tcPr>
            <w:tcW w:type="dxa" w:w="4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Entrenamiento</w:t>
            </w:r>
          </w:p>
        </w:tc>
        <w:tc>
          <w:tcPr>
            <w:tcW w:type="dxa" w:w="4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Evaluación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In-dataset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prueba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Cross-dataset 1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OneDrive — Trucha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Cross-dataset 2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Mendeley — entrenamiento</w:t>
            </w:r>
          </w:p>
        </w:tc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Kaggle — Rohu</w:t>
            </w:r>
          </w:p>
        </w:tc>
      </w:tr>
    </w:tbl>
    <w:p>
      <w:pPr>
        <w:spacing w:after="100"/>
      </w:pPr>
      <w:r>
        <w:t xml:space="preserve">El backbone se entrena/preentrena sobre Mendeley. Bajo el método congelado, el backbone queda fijo y solo se entrena la cabeza de clasificación sobre cada dominio objetivo por separado (Trucha, Rohu) — sin mezclar los dos dominios objetivo entre sí.</w:t>
      </w:r>
    </w:p>
    <w:p>
      <w:pPr>
        <w:pStyle w:val="Heading1"/>
        <w:spacing w:after="120" w:before="240"/>
      </w:pPr>
      <w:r>
        <w:t xml:space="preserve">2. Tasa de Retención del Desempeño (TRD)</w:t>
      </w:r>
    </w:p>
    <w:p>
      <w:pPr>
        <w:spacing w:after="100"/>
      </w:pPr>
      <w:r>
        <w:t xml:space="preserve">La tasa de retención determina qué porcentaje del desempeño obtenido en Mendeley conserva el modelo cuando se evalúa en otro dominio.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TRD_j = (F1_Target_j / F1_Source) × 100</w:t>
      </w:r>
    </w:p>
    <w:p>
      <w:pPr>
        <w:spacing w:after="100"/>
      </w:pPr>
      <w:r>
        <w:t xml:space="preserve">Donde F1_Source es el F1 macro en Mendeley, F1_Target_j es el F1 macro en el dominio objetivo j (j=1: OneDrive, j=2: Kaggle). Una tasa cercana al 100% indica poca degradación; una tasa baja indica que el modelo pierde una parte importante de su desempeño al cambiar de dominio.</w:t>
      </w:r>
    </w:p>
    <w:p>
      <w:pPr>
        <w:pStyle w:val="Heading2"/>
        <w:spacing w:after="90" w:before="180"/>
      </w:pPr>
      <w:r>
        <w:t xml:space="preserve">2.1. CNN (DenseNet-121) — mejor resultado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(0.8591 / 0.9566) × 100 = 89.81%</w:t>
      </w:r>
    </w:p>
    <w:p>
      <w:pPr>
        <w:spacing w:after="100"/>
      </w:pPr>
      <w:r>
        <w:t xml:space="preserve">Interpretación: DenseNet-121 conserva el 89.81% de su desempeño al pasar de Mendeley a OneDrive.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(0.8658 / 0.9566) × 100 = 90.51%</w:t>
      </w:r>
    </w:p>
    <w:p>
      <w:pPr>
        <w:spacing w:after="100"/>
      </w:pPr>
      <w:r>
        <w:t xml:space="preserve">Interpretación: DenseNet-121 conserva el 90.51% de su desempeño al pasar de Mendeley a Kaggle.</w:t>
      </w:r>
    </w:p>
    <w:p>
      <w:pPr>
        <w:pStyle w:val="Heading2"/>
        <w:spacing w:after="90" w:before="180"/>
      </w:pPr>
      <w:r>
        <w:t xml:space="preserve">2.2. ViT-Base/16 — sin augmentación (DA)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(0.8611 / 0.9696) × 100 = 88.81%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(0.8817 / 0.9696) × 100 = 90.93%</w:t>
      </w:r>
    </w:p>
    <w:p>
      <w:pPr>
        <w:pStyle w:val="Heading2"/>
        <w:spacing w:after="90" w:before="180"/>
      </w:pPr>
      <w:r>
        <w:t xml:space="preserve">2.3. ViT-Base/16 + DA (x2) — propuesto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TRD_T1 = (0.8898 / 0.9696) × 100 = 91.77%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TRD_T2 = (0.9112 / 0.9696) × 100 = 93.98%</w:t>
      </w:r>
    </w:p>
    <w:p>
      <w:pPr>
        <w:spacing w:after="100"/>
      </w:pPr>
      <w:r>
        <w:rPr>
          <w:b/>
          <w:bCs/>
        </w:rPr>
        <w:t xml:space="preserve">Tabla completa de retención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600"/>
        <w:gridCol w:w="1600"/>
        <w:gridCol w:w="1600"/>
        <w:gridCol w:w="1600"/>
        <w:gridCol w:w="19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T2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T1 (%)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T2 (%)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promedio (%)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90.16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89.87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(propuesto)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91.77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92.87</w:t>
            </w:r>
          </w:p>
        </w:tc>
      </w:tr>
    </w:tbl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TRD_promedio = (TRD_T1 + TRD_T2) / 2</w:t>
      </w:r>
    </w:p>
    <w:p>
      <w:pPr>
        <w:spacing w:after="100"/>
      </w:pPr>
      <w:r>
        <w:t xml:space="preserve">Por ejemplo, para ViT-Base/16 + DA: TRD_promedio = (91.77 + 93.98) / 2 = 92.87%.</w:t>
      </w:r>
    </w:p>
    <w:p>
      <w:pPr>
        <w:pStyle w:val="Heading1"/>
        <w:spacing w:after="120" w:before="240"/>
      </w:pPr>
      <w:r>
        <w:t xml:space="preserve">3. Cálculo de la brecha de error entre conjuntos de datos</w:t>
      </w:r>
    </w:p>
    <w:p>
      <w:pPr>
        <w:spacing w:after="100"/>
      </w:pPr>
      <w:r>
        <w:t xml:space="preserve">Primero se obtiene el error asociado al F1 macro: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 = 1 − F1</w:t>
      </w:r>
    </w:p>
    <w:p>
      <w:pPr>
        <w:spacing w:after="100"/>
      </w:pPr>
      <w:r>
        <w:t xml:space="preserve">Después se calcula la brecha entre el error del dominio objetivo y el error del dominio fuente: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Gap_j = Error_Target_j − Error_Source = F1_Source − F1_Target_j</w:t>
      </w:r>
    </w:p>
    <w:p>
      <w:pPr>
        <w:spacing w:after="100"/>
      </w:pPr>
      <w:r>
        <w:t xml:space="preserve">Cuanto menor sea el Gap, menor es la degradación producida por el cambio de dominio.</w:t>
      </w:r>
    </w:p>
    <w:p>
      <w:pPr>
        <w:pStyle w:val="Heading2"/>
        <w:spacing w:after="90" w:before="180"/>
      </w:pPr>
      <w:r>
        <w:t xml:space="preserve">3.1. CNN (DenseNet-121) — mejor resultado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1 − 0.9566 = 0.0434</w:t>
      </w:r>
    </w:p>
    <w:p>
      <w:pPr>
        <w:spacing w:after="100"/>
      </w:pPr>
      <w:r>
        <w:t xml:space="preserve">Target 1: OneDrive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1 − 0.8591 = 0.1409     Gap_T1 = 0.1409 − 0.0434 = 0.0975</w:t>
      </w:r>
    </w:p>
    <w:p>
      <w:pPr>
        <w:spacing w:after="100"/>
      </w:pPr>
      <w:r>
        <w:t xml:space="preserve">Target 2: Kaggle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1 − 0.8658 = 0.1342     Gap_T2 = 0.1342 − 0.0434 = 0.0908</w:t>
      </w:r>
    </w:p>
    <w:p>
      <w:pPr>
        <w:pStyle w:val="Heading2"/>
        <w:spacing w:after="90" w:before="180"/>
      </w:pPr>
      <w:r>
        <w:t xml:space="preserve">3.2. ViT-Base/16 — sin augmentación (DA)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1 − 0.9696 = 0.0304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1 − 0.8611 = 0.1389     Gap_T1 = 0.1389 − 0.0304 = 0.1085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1 − 0.8817 = 0.1183     Gap_T2 = 0.1183 − 0.0304 = 0.0879</w:t>
      </w:r>
    </w:p>
    <w:p>
      <w:pPr>
        <w:pStyle w:val="Heading2"/>
        <w:spacing w:after="90" w:before="180"/>
      </w:pPr>
      <w:r>
        <w:t xml:space="preserve">3.3. ViT-Base/16 + DA (x2) — propuesto</w:t>
      </w:r>
    </w:p>
    <w:p>
      <w:pPr>
        <w:spacing w:after="100"/>
      </w:pPr>
      <w:r>
        <w:t xml:space="preserve">Error source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Error_Source = 1 − 0.9696 = 0.0304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Error_T1 = 1 − 0.8898 = 0.1102     Gap_T1 = 0.1102 − 0.0304 = 0.0798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Error_T2 = 1 − 0.9112 = 0.0888     Gap_T2 = 0.0888 − 0.0304 = 0.0584</w:t>
      </w:r>
    </w:p>
    <w:p>
      <w:pPr>
        <w:spacing w:after="100"/>
      </w:pPr>
      <w:r>
        <w:rPr>
          <w:b/>
          <w:bCs/>
        </w:rPr>
        <w:t xml:space="preserve">Tabla completa de errores y brechas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600"/>
        <w:gridCol w:w="1600"/>
        <w:gridCol w:w="1600"/>
        <w:gridCol w:w="1600"/>
        <w:gridCol w:w="19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Source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Error T2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promedio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0.0434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0.1409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0.1342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0.0942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0.0304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0.1389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0.1183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0.0982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(propuesto)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0.0304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0.1102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0.0888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0.0691</w:t>
            </w:r>
          </w:p>
        </w:tc>
      </w:tr>
    </w:tbl>
    <w:p>
      <w:pPr>
        <w:pStyle w:val="Heading1"/>
        <w:spacing w:after="120" w:before="240"/>
      </w:pPr>
      <w:r>
        <w:t xml:space="preserve">4. Reducción de la Brecha de Error (RBE)</w:t>
      </w:r>
    </w:p>
    <w:p>
      <w:pPr>
        <w:spacing w:after="100"/>
      </w:pPr>
      <w:r>
        <w:t xml:space="preserve">Este indicador mide cuánto reduce otro modelo la brecha de error en comparación con el baseline.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RBE_j = (Gap_baseline,j − Gap_modelo,j) / Gap_baseline,j × 100</w:t>
      </w:r>
    </w:p>
    <w:p>
      <w:pPr>
        <w:spacing w:after="100"/>
      </w:pPr>
      <w:r>
        <w:t xml:space="preserve">Se usa como baseline la CNN (DenseNet-121) con su mejor resultado. Sus brechas son 0.0975 para OneDrive y 0.0908 para Kaggle.</w:t>
      </w:r>
    </w:p>
    <w:p>
      <w:pPr>
        <w:pStyle w:val="Heading2"/>
        <w:spacing w:after="90" w:before="180"/>
      </w:pPr>
      <w:r>
        <w:t xml:space="preserve">4.1. ViT-Base/16 (sin DA) frente a CNN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RBE_T1 = (0.0975 − 0.1085) / 0.0975 × 100 = −11.28%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RBE_T2 = (0.0908 − 0.0879) / 0.0908 × 100 = 3.19%</w:t>
      </w:r>
    </w:p>
    <w:p>
      <w:pPr>
        <w:spacing w:after="100"/>
      </w:pPr>
      <w:r>
        <w:t xml:space="preserve">Interpretación: sin augmentación, ViT-Base/16 tiene una brecha MAYOR que la CNN en OneDrive (RBE negativo — peor transferencia que el baseline en ese dominio), y solo una mejora marginal en Kaggle. La ventaja de ViT sobre la CNN no es automática por arquitectura — depende de la augmentación.</w:t>
      </w:r>
    </w:p>
    <w:p>
      <w:pPr>
        <w:pStyle w:val="Heading2"/>
        <w:spacing w:after="90" w:before="180"/>
      </w:pPr>
      <w:r>
        <w:t xml:space="preserve">4.2. ViT-Base/16 + DA frente a CNN</w:t>
      </w:r>
    </w:p>
    <w:p>
      <w:pPr>
        <w:spacing w:after="100"/>
      </w:pPr>
      <w:r>
        <w:t xml:space="preserve">Target 1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RBE_T1 = (0.0975 − 0.0798) / 0.0975 × 100 = 18.15%</w:t>
      </w:r>
    </w:p>
    <w:p>
      <w:pPr>
        <w:spacing w:after="100"/>
      </w:pPr>
      <w:r>
        <w:t xml:space="preserve">Target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RBE_T2 = (0.0908 − 0.0584) / 0.0908 × 100 = 35.68%</w:t>
      </w:r>
    </w:p>
    <w:p>
      <w:pPr>
        <w:spacing w:after="100"/>
      </w:pPr>
      <w:r>
        <w:rPr>
          <w:b/>
          <w:bCs/>
        </w:rPr>
        <w:t xml:space="preserve">Tabla completa de reducción de brecha</w:t>
      </w:r>
    </w:p>
    <w:tbl>
      <w:tblPr>
        <w:tblW w:type="dxa" w:w="12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  <w:gridCol w:w="1800"/>
        <w:gridCol w:w="2000"/>
      </w:tblGrid>
      <w:tr>
        <w:trPr>
          <w:tblHeader/>
        </w:trPr>
        <w:tc>
          <w:tcPr>
            <w:tcW w:type="dxa" w:w="3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T1 (%)</w:t>
            </w:r>
          </w:p>
        </w:tc>
        <w:tc>
          <w:tcPr>
            <w:tcW w:type="dxa" w:w="18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T2 (%)</w:t>
            </w:r>
          </w:p>
        </w:tc>
        <w:tc>
          <w:tcPr>
            <w:tcW w:type="dxa" w:w="20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promedio (%)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baseline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−11.28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3.19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−4.04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(propuesto)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18.15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35.68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26.92</w:t>
            </w:r>
          </w:p>
        </w:tc>
      </w:tr>
    </w:tbl>
    <w:p>
      <w:pPr>
        <w:spacing w:after="100"/>
      </w:pPr>
      <w:r>
        <w:t xml:space="preserve">El promedio para el modelo propuesto: RBE_promedio = (18.15 + 35.68) / 2 = 26.92%.</w:t>
      </w:r>
    </w:p>
    <w:p>
      <w:pPr>
        <w:pStyle w:val="Heading1"/>
        <w:spacing w:after="120" w:before="240"/>
      </w:pPr>
      <w:r>
        <w:t xml:space="preserve">5. Tabla consolidada final</w:t>
      </w: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00"/>
        <w:gridCol w:w="1100"/>
        <w:gridCol w:w="1200"/>
        <w:gridCol w:w="1200"/>
        <w:gridCol w:w="1100"/>
        <w:gridCol w:w="1100"/>
        <w:gridCol w:w="1200"/>
        <w:gridCol w:w="12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Source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T1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 T2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T1 (%)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TRD T2 (%)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T1</w:t>
            </w:r>
          </w:p>
        </w:tc>
        <w:tc>
          <w:tcPr>
            <w:tcW w:type="dxa" w:w="11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Gap T2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T1 (%)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RBE T2 (%)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CNN (DenseNet-121) — baseline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0.9566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0.8591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0.8658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89.81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90.51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0.0975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0.0908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(sin DA)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0.8611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0.8817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88.81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90.93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0.1085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0.0879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−11.28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3.19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ViT-Base/16 + DA (propuesto)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0.9696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0.8898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0.9112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91.77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93.98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0.0798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0.0584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18.15</w:t>
            </w:r>
          </w:p>
        </w:tc>
        <w:tc>
          <w:tcPr>
            <w:tcW w:type="dxa" w:w="1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35.68</w:t>
            </w:r>
          </w:p>
        </w:tc>
      </w:tr>
    </w:tbl>
    <w:p>
      <w:pPr>
        <w:spacing w:after="100"/>
      </w:pPr>
      <w:r>
        <w:rPr>
          <w:b/>
          <w:bCs/>
        </w:rPr>
        <w:t xml:space="preserve">Interpretación con los datos del proyecto</w:t>
      </w:r>
    </w:p>
    <w:p>
      <w:pPr>
        <w:spacing w:after="100"/>
      </w:pPr>
      <w:r>
        <w:t xml:space="preserve">ViT-Base/16 + DA obtiene el F1 más alto en ambos dominios objetivo y también la mayor retención de desempeño: 92.87% promedio, frente a 90.16% para la CNN y 89.87% para ViT sin augmentación.</w:t>
      </w:r>
    </w:p>
    <w:p>
      <w:pPr>
        <w:spacing w:after="100"/>
      </w:pPr>
      <w:r>
        <w:t xml:space="preserve">Sin augmentación, ViT-Base/16 no supera de forma consistente a la CNN — en OneDrive su brecha de error es incluso mayor (RBE = −11.28%). La ventaja de ViT aparece recién cuando se combina con augmentación (x2): ahí reduce la brecha de error respecto a la CNN baseline en 18.15% para OneDrive y 35.68% para Kaggle.</w:t>
      </w:r>
    </w:p>
    <w:p>
      <w:pPr>
        <w:spacing w:after="100"/>
      </w:pPr>
      <w:r>
        <w:t xml:space="preserve">Esto sugiere que, en este proyecto, la augmentación de datos (x2) es el factor que más contribuye a mejorar la generalización cross-dataset — más que el cambio de arquitectura (CNN → ViT) por sí solo.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2026-09-23T23:10:56.770Z</dcterms:created>
  <dcterms:modified xsi:type="dcterms:W3CDTF">2026-09-23T23:10:56.774Z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