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>Resultados — ViT-Base/16 y DenseNet-121</w:t>
      </w:r>
    </w:p>
    <w:p>
      <w:pPr>
        <w:spacing w:after="260"/>
      </w:pPr>
      <w:r>
        <w:rPr>
          <w:i/>
          <w:iCs/>
          <w:sz w:val="22"/>
          <w:szCs w:val="22"/>
        </w:rPr>
        <w:t>Congelado (linear probe), Trucha y Rohu, sin augmentación x2</w:t>
      </w:r>
    </w:p>
    <w:p>
      <w:pPr>
        <w:pStyle w:val="Heading1"/>
        <w:spacing w:after="120" w:before="200"/>
      </w:pPr>
      <w:r>
        <w:t>1. Resultados (F1 macro, media de 10 folds)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32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Trucha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Rohu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Mendeley (fuente)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ViT-Base/16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86.33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90.18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96.96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DenseNet-121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82.77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84.16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95.66</w:t>
            </w:r>
          </w:p>
        </w:tc>
      </w:tr>
    </w:tbl>
    <w:p>
      <w:pPr>
        <w:pStyle w:val="Heading1"/>
        <w:spacing w:after="120" w:before="200"/>
      </w:pPr>
      <w:r>
        <w:t>2. Indicadores de robustez ante cambio de dominio</w:t>
      </w:r>
    </w:p>
    <w:p>
      <w:pPr>
        <w:spacing w:after="100"/>
      </w:pPr>
      <w:r>
        <w:t>Indicadores del plan de tesis (Dimensión 2 — Robustez ante el Cambio de Dominio), calculados a partir del F1 macro de cada modelo en Mendeley (dominio fuente) y en cada dominio objetivo.</w:t>
      </w:r>
    </w:p>
    <w:p>
      <w:pPr>
        <w:pStyle w:val="Heading2"/>
        <w:spacing w:after="80" w:before="160"/>
      </w:pPr>
      <w:r>
        <w:t>2.1 Fórmulas</w:t>
      </w:r>
    </w:p>
    <w:p>
      <w:pPr>
        <w:spacing w:after="100"/>
      </w:pPr>
      <w:r>
        <w:rPr>
          <w:b/>
          <w:bCs/>
        </w:rPr>
        <w:t>Tasa de Retención del Desempeño (TRD):</w:t>
      </w:r>
    </w:p>
    <w:p>
      <w:pPr>
        <w:spacing w:after="100"/>
      </w:pPr>
      <w:r>
        <w:rPr>
          <w:i/>
          <w:iCs/>
        </w:rPr>
        <w:t>TRD = (F1_objetivo / F1_fuente) × 100</w:t>
      </w:r>
    </w:p>
    <w:p>
      <w:pPr>
        <w:spacing w:after="100"/>
      </w:pPr>
      <w:r>
        <w:t>Porcentaje del desempeño de Mendeley que el modelo conserva al evaluarse en el dominio objetivo. 100% = sin caída de desempeño.</w:t>
      </w:r>
    </w:p>
    <w:p>
      <w:pPr>
        <w:spacing w:after="100"/>
      </w:pPr>
      <w:r>
        <w:rPr>
          <w:b/>
          <w:bCs/>
        </w:rPr>
        <w:t>Brecha de Error (Gap):</w:t>
      </w:r>
    </w:p>
    <w:p>
      <w:pPr>
        <w:spacing w:after="100"/>
      </w:pPr>
      <w:r>
        <w:rPr>
          <w:i/>
          <w:iCs/>
        </w:rPr>
        <w:t>Error = 1 − F1/100     Gap = Error_objetivo − Error_fuente</w:t>
      </w:r>
    </w:p>
    <w:p>
      <w:pPr>
        <w:spacing w:after="100"/>
      </w:pPr>
      <w:r>
        <w:t>Cuánto aumenta el error del modelo al pasar del dominio fuente al objetivo. Gap = 0 significaría que el modelo no pierde nada de desempeño.</w:t>
      </w:r>
    </w:p>
    <w:p>
      <w:pPr>
        <w:spacing w:after="100"/>
      </w:pPr>
      <w:r>
        <w:rPr>
          <w:b/>
          <w:bCs/>
        </w:rPr>
        <w:t>Reducción de Brecha de Error (RBE), respecto a DenseNet-121 (baseline CNN):</w:t>
      </w:r>
    </w:p>
    <w:p>
      <w:pPr>
        <w:spacing w:after="100"/>
      </w:pPr>
      <w:r>
        <w:rPr>
          <w:i/>
          <w:iCs/>
        </w:rPr>
        <w:t>RBE = (Gap_baseline − Gap_modelo) / Gap_baseline × 100</w:t>
      </w:r>
    </w:p>
    <w:p>
      <w:pPr>
        <w:spacing w:after="100"/>
      </w:pPr>
      <w:r>
        <w:t>Mide cuánto reduce cada modelo la brecha de error frente al baseline (DenseNet-121). RBE &gt; 0 = mejor transferencia que el baseline; RBE &lt; 0 = peor. Para el propio baseline, Gap_baseline = Gap_modelo, así que RBE = 0.0 exacto — es una tautología (comparación contra sí mismo), no una medición independiente, y se muestra igual para no dejar la celda vacía.</w:t>
      </w:r>
    </w:p>
    <w:p>
      <w:pPr>
        <w:pStyle w:val="Heading2"/>
        <w:spacing w:after="80" w:before="160"/>
      </w:pPr>
      <w:r>
        <w:t>2.2 Indicadores</w:t>
      </w:r>
    </w:p>
    <w:p>
      <w:pPr>
        <w:pStyle w:val="Heading2"/>
        <w:spacing w:after="80" w:before="160"/>
      </w:pPr>
      <w:r>
        <w:t>Trucha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00"/>
        <w:gridCol w:w="3600"/>
      </w:tblGrid>
      <w:tr>
        <w:trPr>
          <w:tblHeader/>
        </w:trPr>
        <w:tc>
          <w:tcPr>
            <w:tcW w:type="dxa" w:w="4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TRD (%)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Gap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RBE vs. DenseNet-121 (%)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ViT-Base/16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89.04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0.1063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17.53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DenseNet-121 (baseline)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86.53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0.1289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0.00</w:t>
            </w:r>
          </w:p>
        </w:tc>
      </w:tr>
    </w:tbl>
    <w:p>
      <w:pPr>
        <w:pStyle w:val="Heading2"/>
        <w:spacing w:after="80" w:before="160"/>
      </w:pPr>
      <w:r>
        <w:t>Rohu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00"/>
        <w:gridCol w:w="3600"/>
      </w:tblGrid>
      <w:tr>
        <w:trPr>
          <w:tblHeader/>
        </w:trPr>
        <w:tc>
          <w:tcPr>
            <w:tcW w:type="dxa" w:w="4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TRD (%)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Gap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>RBE vs. DenseNet-121 (%)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ViT-Base/16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93.01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0.0678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41.04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DenseNet-121 (baseline)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87.98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0.1150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>0.00</w:t>
            </w:r>
          </w:p>
        </w:tc>
      </w:tr>
    </w:tbl>
    <w:p>
      <w:pPr>
        <w:pStyle w:val="Heading1"/>
        <w:spacing w:after="120" w:before="200"/>
      </w:pPr>
      <w:r>
        <w:t>3. Lectura</w:t>
      </w:r>
    </w:p>
    <w:p>
      <w:pPr>
        <w:spacing w:after="100"/>
      </w:pPr>
      <w:r>
        <w:t>ViT-Base/16 rinde por encima de DenseNet-121 en los dos dominios, consistente con su desempeño en Mendeley (dominio fuente), donde también es el mejor de los dos (96.96 vs. 95.66).</w:t>
      </w:r>
    </w:p>
    <w:p>
      <w:pPr>
        <w:spacing w:after="100"/>
      </w:pPr>
      <w:r>
        <w:t>Rohu rinde por encima de Trucha en los 2 modelos.</w:t>
      </w:r>
    </w:p>
    <w:p>
      <w:pPr>
        <w:spacing w:after="100"/>
      </w:pPr>
      <w:r>
        <w:t>Frente a Mendeley, los dos dominios objetivo quedan por debajo en ambos modelos — la brecha de generalización cross-dataset que mide el proyecto.</w:t>
      </w:r>
    </w:p>
    <w:p>
      <w:pPr>
        <w:spacing w:after="100"/>
      </w:pPr>
      <w:r>
        <w:t>ViT-Base/16 retiene más desempeño que DenseNet-121 en ambos dominios (TRD más alto, Gap más chico) y su RBE es positivo — transfiere mejor que el baseline CNN. La ventaja de ViT es mayor en Rohu (RBE 41.04%) que en Trucha (RBE 17.53%).</w:t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>Método: congelado (linear probe), backbone con pesos fijos (checkpoint de Mendeley), 30 épocas, patience=8, validación cruzada de 10 folds. Mendeley: evaluación pooled de 5 folds sobre las 8,000 imágenes del dominio fuente. F1 de Trucha/Rohu: media de 10 folds (misma convención que la tabla maestra del proyecto).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2026-09-23T15:11:14.353Z</dcterms:created>
  <dcterms:modified xsi:type="dcterms:W3CDTF">2026-09-23T15:11:14.359Z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