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III: Evaluación de Modelos Base</w:t>
      </w:r>
    </w:p>
    <w:p>
      <w:pPr>
        <w:pStyle w:val="Heading2"/>
      </w:pPr>
      <w:r>
        <w:t>3.1. Introducción</w:t>
      </w:r>
    </w:p>
    <w:p>
      <w:pPr>
        <w:jc w:val="both"/>
      </w:pPr>
      <w:r>
        <w:t>El presente capítulo tiene como propósito identificar los modelos de Machine Learning con mejor desempeño en la clasificación de la frescura del pescado a partir de imágenes oculares y determinar en qué medida dicho desempeño se ve afectado por la variabilidad visual existente entre distintos conjuntos de datos. De esta manera, el capítulo da respuesta al primer y segundo objetivo específico de la investigación y establece la línea base experimental frente a la cual se comparará el modelo propuesto.</w:t>
      </w:r>
    </w:p>
    <w:p>
      <w:pPr>
        <w:jc w:val="both"/>
      </w:pPr>
      <w:r>
        <w:t>En relación con el método de investigación (sección 2.4.2), el capítulo desarrolla sus dos primeras fases. La Fase 1 (línea base), asociada al Objetivo Específico 1, se ejecuta en las secciones 3.2 a 3.6 y concluye con la selección de los modelos de referencia a partir de su desempeño intra-dataset. La Fase 2 (diagnóstico), asociada al Objetivo Específico 2, se ejecuta en las secciones 3.7 y 3.8 y trabaja únicamente con los modelos seleccionados. Finalmente, la sección 3.9 consolida los productos de ambas fases. Cabe precisar que en las secciones 3.2 y 3.3 se preparan también los conjuntos de datos de los dominios objetivo y se define el esquema cross-dataset, insumos que se emplean posteriormente en la Fase 2.</w:t>
      </w:r>
    </w:p>
    <w:p>
      <w:pPr>
        <w:jc w:val="both"/>
      </w:pPr>
      <w:r>
        <w:t>El capítulo se organiza en cinco etapas secuenciales. En la primera etapa (preparación) se describen los conjuntos de datos y su procesamiento común, que comprende la depuración, el recorte de la región ocular, la homologación de las categorías de frescura entre dominios y la normalización; en esta etapa no se entrena ningún modelo, y se diferencia el conjunto fuente, que se particiona para el entrenamiento, de los conjuntos objetivo, que se reservan hasta la evaluación cross-dataset. Asimismo, se define el diseño experimental común que se aplicará a todos los modelos candidatos. En la segunda etapa (implementación y evaluación intra-dataset) se entrenan los modelos candidatos en el dominio fuente y se compara su desempeño. En la tercera etapa (selección) se eligen los modelos de referencia que conforman la línea base experimental. En la cuarta etapa (evaluación cross-dataset y análisis) se evalúan los modelos de referencia sobre los dominios objetivo y se cuantifica el efecto de la variabilidad visual sobre su desempeño y su robustez. Finalmente, en la quinta etapa (consolidación) se sintetizan los resultados en la línea base experimental, que constituye el insumo para el desarrollo del modelo propuesto en el Capítulo IV y para su validación en el Capítulo V.</w:t>
      </w:r>
    </w:p>
    <w:p>
      <w:pPr>
        <w:jc w:val="both"/>
      </w:pPr>
      <w:r>
        <w:t>En la Figura 3.1 se presenta el flujo del capítulo, en el que se resume para cada sección qué se busca y el resultado esperado.</w:t>
      </w:r>
    </w:p>
    <w:p>
      <w:r>
        <w:rPr>
          <w:b/>
        </w:rPr>
        <w:t>Figura 3.1</w:t>
      </w:r>
    </w:p>
    <w:p>
      <w:r>
        <w:rPr>
          <w:i/>
        </w:rPr>
        <w:t>Flujo del Capítulo III: Evaluación de Modelos Base</w:t>
      </w:r>
    </w:p>
    <w:p>
      <w:pPr>
        <w:jc w:val="center"/>
      </w:pPr>
      <w:r>
        <w:drawing>
          <wp:inline xmlns:a="http://schemas.openxmlformats.org/drawingml/2006/main" xmlns:pic="http://schemas.openxmlformats.org/drawingml/2006/picture">
            <wp:extent cx="5580000" cy="1113910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11139101"/>
                    </a:xfrm>
                    <a:prstGeom prst="rect"/>
                  </pic:spPr>
                </pic:pic>
              </a:graphicData>
            </a:graphic>
          </wp:inline>
        </w:drawing>
      </w:r>
    </w:p>
    <w:p>
      <w:r>
        <w:rPr>
          <w:sz w:val="18"/>
        </w:rPr>
        <w:t>Fuente: Elaboración propia.</w:t>
      </w:r>
    </w:p>
    <w:p>
      <w:pPr>
        <w:jc w:val="both"/>
      </w:pPr>
      <w:r>
        <w:t>En la Tabla 3.1 se muestra la correspondencia entre las secciones del capítulo y las fases y actividades del método de investigación.</w:t>
      </w:r>
    </w:p>
    <w:p>
      <w:r>
        <w:rPr>
          <w:b/>
        </w:rPr>
        <w:t>Tabla 3.1</w:t>
      </w:r>
    </w:p>
    <w:p>
      <w:r>
        <w:rPr>
          <w:i/>
        </w:rPr>
        <w:t>Correspondencia entre las secciones del Capítulo III y el método de investigación</w:t>
      </w:r>
    </w:p>
    <w:tbl>
      <w:tblPr>
        <w:tblStyle w:val="TableGrid"/>
        <w:tblW w:type="auto" w:w="0"/>
        <w:jc w:val="center"/>
        <w:tblLayout w:type="fixed"/>
        <w:tblLook w:firstColumn="1" w:firstRow="1" w:lastColumn="0" w:lastRow="0" w:noHBand="0" w:noVBand="1" w:val="04A0"/>
      </w:tblPr>
      <w:tblGrid>
        <w:gridCol w:w="907"/>
        <w:gridCol w:w="1587"/>
        <w:gridCol w:w="6576"/>
      </w:tblGrid>
      <w:tr>
        <w:tc>
          <w:tcPr>
            <w:tcW w:type="dxa" w:w="907"/>
            <w:shd w:val="clear" w:color="auto" w:fill="D9E2F3"/>
          </w:tcPr>
          <w:p>
            <w:r>
              <w:rPr>
                <w:b/>
                <w:sz w:val="19"/>
              </w:rPr>
              <w:t>Sección</w:t>
            </w:r>
          </w:p>
        </w:tc>
        <w:tc>
          <w:tcPr>
            <w:tcW w:type="dxa" w:w="1587"/>
            <w:shd w:val="clear" w:color="auto" w:fill="D9E2F3"/>
          </w:tcPr>
          <w:p>
            <w:r>
              <w:rPr>
                <w:b/>
                <w:sz w:val="19"/>
              </w:rPr>
              <w:t>Fase del método</w:t>
            </w:r>
          </w:p>
        </w:tc>
        <w:tc>
          <w:tcPr>
            <w:tcW w:type="dxa" w:w="6576"/>
            <w:shd w:val="clear" w:color="auto" w:fill="D9E2F3"/>
          </w:tcPr>
          <w:p>
            <w:r>
              <w:rPr>
                <w:b/>
                <w:sz w:val="19"/>
              </w:rPr>
              <w:t>Actividad del método de investigación que se desarrolla</w:t>
            </w:r>
          </w:p>
        </w:tc>
      </w:tr>
      <w:tr>
        <w:tc>
          <w:tcPr>
            <w:tcW w:type="dxa" w:w="907"/>
          </w:tcPr>
          <w:p>
            <w:r>
              <w:rPr>
                <w:sz w:val="19"/>
              </w:rPr>
              <w:t>3.2</w:t>
            </w:r>
          </w:p>
        </w:tc>
        <w:tc>
          <w:tcPr>
            <w:tcW w:type="dxa" w:w="1587"/>
          </w:tcPr>
          <w:p>
            <w:r>
              <w:rPr>
                <w:sz w:val="19"/>
              </w:rPr>
              <w:t>Fase 1 y Fase 2</w:t>
            </w:r>
          </w:p>
        </w:tc>
        <w:tc>
          <w:tcPr>
            <w:tcW w:type="dxa" w:w="6576"/>
          </w:tcPr>
          <w:p>
            <w:r>
              <w:rPr>
                <w:sz w:val="19"/>
              </w:rPr>
              <w:t>Seleccionar y preparar el conjunto de datos base para el entrenamiento de los modelos (Fase 1). Seleccionar los conjuntos de datos experimentales con diferencias visuales representativas en iluminación, fondo y condiciones de adquisición (Fase 2).</w:t>
            </w:r>
          </w:p>
        </w:tc>
      </w:tr>
      <w:tr>
        <w:tc>
          <w:tcPr>
            <w:tcW w:type="dxa" w:w="907"/>
          </w:tcPr>
          <w:p>
            <w:r>
              <w:rPr>
                <w:sz w:val="19"/>
              </w:rPr>
              <w:t>3.3</w:t>
            </w:r>
          </w:p>
        </w:tc>
        <w:tc>
          <w:tcPr>
            <w:tcW w:type="dxa" w:w="1587"/>
          </w:tcPr>
          <w:p>
            <w:r>
              <w:rPr>
                <w:sz w:val="19"/>
              </w:rPr>
              <w:t>Fase 1 y Fase 2</w:t>
            </w:r>
          </w:p>
        </w:tc>
        <w:tc>
          <w:tcPr>
            <w:tcW w:type="dxa" w:w="6576"/>
          </w:tcPr>
          <w:p>
            <w:r>
              <w:rPr>
                <w:sz w:val="19"/>
              </w:rPr>
              <w:t>Identificar y seleccionar los algoritmos con mejor respaldo en la literatura científica para su evaluación comparativa (Fase 1). Diseñar el esquema experimental de transferencia entre conjuntos de datos (cross-dataset) (Fase 2).</w:t>
            </w:r>
          </w:p>
        </w:tc>
      </w:tr>
      <w:tr>
        <w:tc>
          <w:tcPr>
            <w:tcW w:type="dxa" w:w="907"/>
          </w:tcPr>
          <w:p>
            <w:r>
              <w:rPr>
                <w:sz w:val="19"/>
              </w:rPr>
              <w:t>3.4</w:t>
            </w:r>
          </w:p>
        </w:tc>
        <w:tc>
          <w:tcPr>
            <w:tcW w:type="dxa" w:w="1587"/>
          </w:tcPr>
          <w:p>
            <w:r>
              <w:rPr>
                <w:sz w:val="19"/>
              </w:rPr>
              <w:t>Fase 1</w:t>
            </w:r>
          </w:p>
        </w:tc>
        <w:tc>
          <w:tcPr>
            <w:tcW w:type="dxa" w:w="6576"/>
          </w:tcPr>
          <w:p>
            <w:r>
              <w:rPr>
                <w:sz w:val="19"/>
              </w:rPr>
              <w:t>Entrenar los modelos seleccionados bajo condiciones homogéneas de evaluación.</w:t>
            </w:r>
          </w:p>
        </w:tc>
      </w:tr>
      <w:tr>
        <w:tc>
          <w:tcPr>
            <w:tcW w:type="dxa" w:w="907"/>
          </w:tcPr>
          <w:p>
            <w:r>
              <w:rPr>
                <w:sz w:val="19"/>
              </w:rPr>
              <w:t>3.5</w:t>
            </w:r>
          </w:p>
        </w:tc>
        <w:tc>
          <w:tcPr>
            <w:tcW w:type="dxa" w:w="1587"/>
          </w:tcPr>
          <w:p>
            <w:r>
              <w:rPr>
                <w:sz w:val="19"/>
              </w:rPr>
              <w:t>Fase 1</w:t>
            </w:r>
          </w:p>
        </w:tc>
        <w:tc>
          <w:tcPr>
            <w:tcW w:type="dxa" w:w="6576"/>
          </w:tcPr>
          <w:p>
            <w:r>
              <w:rPr>
                <w:sz w:val="19"/>
              </w:rPr>
              <w:t>Comparar el desempeño de los modelos entrenados mediante métricas de clasificación.</w:t>
            </w:r>
          </w:p>
        </w:tc>
      </w:tr>
      <w:tr>
        <w:tc>
          <w:tcPr>
            <w:tcW w:type="dxa" w:w="907"/>
          </w:tcPr>
          <w:p>
            <w:r>
              <w:rPr>
                <w:sz w:val="19"/>
              </w:rPr>
              <w:t>3.6</w:t>
            </w:r>
          </w:p>
        </w:tc>
        <w:tc>
          <w:tcPr>
            <w:tcW w:type="dxa" w:w="1587"/>
          </w:tcPr>
          <w:p>
            <w:r>
              <w:rPr>
                <w:sz w:val="19"/>
              </w:rPr>
              <w:t>Fase 1</w:t>
            </w:r>
          </w:p>
        </w:tc>
        <w:tc>
          <w:tcPr>
            <w:tcW w:type="dxa" w:w="6576"/>
          </w:tcPr>
          <w:p>
            <w:r>
              <w:rPr>
                <w:sz w:val="19"/>
              </w:rPr>
              <w:t>Seleccionar los modelos con mejor desempeño para establecer la línea base experimental de las fases posteriores.</w:t>
            </w:r>
          </w:p>
        </w:tc>
      </w:tr>
      <w:tr>
        <w:tc>
          <w:tcPr>
            <w:tcW w:type="dxa" w:w="907"/>
          </w:tcPr>
          <w:p>
            <w:r>
              <w:rPr>
                <w:sz w:val="19"/>
              </w:rPr>
              <w:t>3.7</w:t>
            </w:r>
          </w:p>
        </w:tc>
        <w:tc>
          <w:tcPr>
            <w:tcW w:type="dxa" w:w="1587"/>
          </w:tcPr>
          <w:p>
            <w:r>
              <w:rPr>
                <w:sz w:val="19"/>
              </w:rPr>
              <w:t>Fase 2</w:t>
            </w:r>
          </w:p>
        </w:tc>
        <w:tc>
          <w:tcPr>
            <w:tcW w:type="dxa" w:w="6576"/>
          </w:tcPr>
          <w:p>
            <w:r>
              <w:rPr>
                <w:sz w:val="19"/>
              </w:rPr>
              <w:t>Ejecutar los modelos de referencia identificados bajo las dos configuraciones cross-dataset resultantes.</w:t>
            </w:r>
          </w:p>
        </w:tc>
      </w:tr>
      <w:tr>
        <w:tc>
          <w:tcPr>
            <w:tcW w:type="dxa" w:w="907"/>
          </w:tcPr>
          <w:p>
            <w:r>
              <w:rPr>
                <w:sz w:val="19"/>
              </w:rPr>
              <w:t>3.8</w:t>
            </w:r>
          </w:p>
        </w:tc>
        <w:tc>
          <w:tcPr>
            <w:tcW w:type="dxa" w:w="1587"/>
          </w:tcPr>
          <w:p>
            <w:r>
              <w:rPr>
                <w:sz w:val="19"/>
              </w:rPr>
              <w:t>Fase 2</w:t>
            </w:r>
          </w:p>
        </w:tc>
        <w:tc>
          <w:tcPr>
            <w:tcW w:type="dxa" w:w="6576"/>
          </w:tcPr>
          <w:p>
            <w:r>
              <w:rPr>
                <w:sz w:val="19"/>
              </w:rPr>
              <w:t>Medir la degradación del desempeño mediante métricas de clasificación y métricas de robustez asociadas a la generalización. Analizar el impacto de la variabilidad visual sobre el comportamiento de los modelos seleccionados.</w:t>
            </w:r>
          </w:p>
        </w:tc>
      </w:tr>
      <w:tr>
        <w:tc>
          <w:tcPr>
            <w:tcW w:type="dxa" w:w="907"/>
          </w:tcPr>
          <w:p>
            <w:r>
              <w:rPr>
                <w:sz w:val="19"/>
              </w:rPr>
              <w:t>3.9</w:t>
            </w:r>
          </w:p>
        </w:tc>
        <w:tc>
          <w:tcPr>
            <w:tcW w:type="dxa" w:w="1587"/>
          </w:tcPr>
          <w:p>
            <w:r>
              <w:rPr>
                <w:sz w:val="19"/>
              </w:rPr>
              <w:t>Fase 1 y Fase 2</w:t>
            </w:r>
          </w:p>
        </w:tc>
        <w:tc>
          <w:tcPr>
            <w:tcW w:type="dxa" w:w="6576"/>
          </w:tcPr>
          <w:p>
            <w:r>
              <w:rPr>
                <w:sz w:val="19"/>
              </w:rPr>
              <w:t>No incorpora una actividad nueva: consolida los productos de ambas fases, es decir, la línea base experimental (Fase 1) y el diagnóstico del efecto de la variabilidad visual (Fase 2).</w:t>
            </w:r>
          </w:p>
        </w:tc>
      </w:tr>
    </w:tbl>
    <w:p>
      <w:r>
        <w:rPr>
          <w:sz w:val="18"/>
        </w:rPr>
        <w:t>Nota. La actividad de revisión de la literatura científica de la Fase 1 se desarrolla en el Capítulo II (Marco Referencial). Fuente: Elaboración propia.</w:t>
      </w:r>
    </w:p>
    <w:p>
      <w:pPr>
        <w:pStyle w:val="Heading2"/>
      </w:pPr>
      <w:r>
        <w:t>3.2. Conjuntos de datos y preparación de datos</w:t>
      </w:r>
    </w:p>
    <w:p>
      <w:pPr>
        <w:jc w:val="both"/>
      </w:pPr>
      <w:r>
        <w:t>La investigación trabaja con tres repositorios de imágenes oculares de pescado. Mendeley Data (DataSetNotClean, DNC) es el dominio fuente: con él se entrenan y comparan los modelos candidatos. OneDrive (trucha, Perú) y Kaggle (rohu, India) son los dominios objetivo: provienen de otras especies, cámaras e iluminación, y se reservan para medir la generalización de los modelos de referencia.</w:t>
      </w:r>
    </w:p>
    <w:p>
      <w:pPr>
        <w:pStyle w:val="ListBullet"/>
        <w:jc w:val="both"/>
      </w:pPr>
      <w:r>
        <w:rPr>
          <w:b/>
        </w:rPr>
        <w:t xml:space="preserve">Mendeley (fuente): </w:t>
      </w:r>
      <w:r>
        <w:t>8,000 imágenes balanceadas, 4,000 fresco y 4,000 no_fresco, de 8 especies, ya recortadas al ojo (aprox. 300×300 a 440×440 px).</w:t>
      </w:r>
    </w:p>
    <w:p>
      <w:pPr>
        <w:pStyle w:val="ListBullet"/>
        <w:jc w:val="both"/>
      </w:pPr>
      <w:r>
        <w:rPr>
          <w:b/>
        </w:rPr>
        <w:t xml:space="preserve">OneDrive – Trucha (objetivo 1): </w:t>
      </w:r>
      <w:r>
        <w:t>1,150 imágenes tras la depuración; fotos originales de cabeza completa a resolución de cámara (aprox. 4160×3120 px).</w:t>
      </w:r>
    </w:p>
    <w:p>
      <w:pPr>
        <w:pStyle w:val="ListBullet"/>
        <w:jc w:val="both"/>
      </w:pPr>
      <w:r>
        <w:rPr>
          <w:b/>
        </w:rPr>
        <w:t xml:space="preserve">Kaggle – Rohu (objetivo 2): </w:t>
      </w:r>
      <w:r>
        <w:t>1,261 imágenes tras la depuración; fotos originales de cabeza completa (aprox. 4032×3024 px).</w:t>
      </w:r>
    </w:p>
    <w:p>
      <w:pPr>
        <w:jc w:val="both"/>
      </w:pPr>
      <w:r>
        <w:t>Los tres repositorios reciben un procesamiento común de cuatro pasos, para que las diferencias entre dominios se deban a las condiciones visuales y no al encuadre de las imágenes:</w:t>
      </w:r>
    </w:p>
    <w:p>
      <w:pPr>
        <w:pStyle w:val="ListBullet"/>
        <w:jc w:val="both"/>
      </w:pPr>
      <w:r>
        <w:rPr>
          <w:b/>
        </w:rPr>
        <w:t xml:space="preserve">Depuración: </w:t>
      </w:r>
      <w:r>
        <w:t>en OneDrive y Kaggle se conservan las detecciones del ojo con estado «ok» y las rescatadas en revisión manual; en Kaggle se excluyen además los falsos positivos confirmados (escama, aleta o imagen borrosa).</w:t>
      </w:r>
    </w:p>
    <w:p>
      <w:pPr>
        <w:pStyle w:val="ListBullet"/>
        <w:jc w:val="both"/>
      </w:pPr>
      <w:r>
        <w:rPr>
          <w:b/>
        </w:rPr>
        <w:t xml:space="preserve">Recorte de la región ocular: </w:t>
      </w:r>
      <w:r>
        <w:t>el ojo se detecta con Fast Radial Symmetry Transform y se recorta un cuadrado centrado en él, con el mismo encuadre que Mendeley.</w:t>
      </w:r>
    </w:p>
    <w:p>
      <w:pPr>
        <w:pStyle w:val="ListBullet"/>
        <w:jc w:val="both"/>
      </w:pPr>
      <w:r>
        <w:rPr>
          <w:b/>
        </w:rPr>
        <w:t xml:space="preserve">Homologación de categorías: </w:t>
      </w:r>
      <w:r>
        <w:t>todas las etiquetas se llevan a un problema binario: fresco (Mendeley: «Highly Fresh» y «Fresh»; OneDrive: días 1 y 3; Kaggle: Fresh_Eyes) y no_fresco (Mendeley: «Not Fresh»; OneDrive: días 5, 7 y 9; Kaggle: Nonfresh_Eyes).</w:t>
      </w:r>
    </w:p>
    <w:p>
      <w:pPr>
        <w:pStyle w:val="ListBullet"/>
        <w:jc w:val="both"/>
      </w:pPr>
      <w:r>
        <w:rPr>
          <w:b/>
        </w:rPr>
        <w:t xml:space="preserve">Normalización: </w:t>
      </w:r>
      <w:r>
        <w:t>brillo y contraste con CLAHE en los dominios objetivo, redimensionado a 330×330 px y, al ingresar al modelo, normalización con la media y desviación de ImageNet.</w:t>
      </w:r>
    </w:p>
    <w:p>
      <w:pPr>
        <w:jc w:val="both"/>
      </w:pPr>
      <w:r>
        <w:t>En esta sección no se entrena ningún modelo. Mendeley se particiona para el entrenamiento (sección 3.3) y solo su conjunto de entrenamiento recibe data augmentation. OneDrive y Kaggle no intervienen en el entrenamiento ni en la selección de los modelos base: se reservan hasta la evaluación cross-dataset (sección 3.7).</w:t>
      </w:r>
    </w:p>
    <w:p>
      <w:pPr>
        <w:jc w:val="both"/>
      </w:pPr>
      <w:r>
        <w:rPr>
          <w:b/>
        </w:rPr>
        <w:t xml:space="preserve">Resultado de la sección. </w:t>
      </w:r>
      <w:r>
        <w:t>conjuntos de datos comparables entre dominios, sin entrenamiento previo.</w:t>
      </w:r>
    </w:p>
    <w:p>
      <w:pPr>
        <w:pStyle w:val="Heading2"/>
      </w:pPr>
      <w:r>
        <w:t>3.3. Diseño experimental de los modelos candidatos</w:t>
      </w:r>
    </w:p>
    <w:p>
      <w:pPr>
        <w:jc w:val="both"/>
      </w:pPr>
      <w:r>
        <w:t>A partir de la revisión de la literatura (Capítulo II) se seleccionan diez modelos candidatos que cubren las dos familias de arquitecturas usadas en clasificación de imágenes: Transformer (ViT-Base/16, Swin-Base y DINOv2-Small) y redes convolucionales, CNN (DenseNet-121, EfficientNet-B0, EfficientNet-Lite0, MobileNetV3-Small, ResNet-50, MobileNetV2 y MobileNetV1). Así, la selección posterior no depende de una sola familia.</w:t>
      </w:r>
    </w:p>
    <w:p>
      <w:pPr>
        <w:pStyle w:val="Heading3"/>
      </w:pPr>
      <w:r>
        <w:t>Partición de los datos</w:t>
      </w:r>
    </w:p>
    <w:p>
      <w:pPr>
        <w:jc w:val="both"/>
      </w:pPr>
      <w:r>
        <w:t>Las 8,000 imágenes de Mendeley se dividen con StratifiedKFold (n_splits=5, shuffle=True, random_state=42) en cinco bloques de 1,600 imágenes. En cada una de las cinco corridas, un bloque se reserva como prueba (20%) y del 80% restante se separa un 15% para validación con train_test_split estratificado y la misma semilla. La distribución efectiva es 68% entrenamiento (5,440 imágenes), 12% validación (960) y 20% prueba (1,600). Al terminar las cinco corridas, cada imagen fue prueba exactamente una vez.</w:t>
      </w:r>
    </w:p>
    <w:p>
      <w:pPr>
        <w:pStyle w:val="ListBullet"/>
        <w:jc w:val="both"/>
      </w:pPr>
      <w:r>
        <w:rPr>
          <w:b/>
        </w:rPr>
        <w:t xml:space="preserve">Entrenamiento (68%): </w:t>
      </w:r>
      <w:r>
        <w:t>actualiza los pesos del modelo.</w:t>
      </w:r>
    </w:p>
    <w:p>
      <w:pPr>
        <w:pStyle w:val="ListBullet"/>
        <w:jc w:val="both"/>
      </w:pPr>
      <w:r>
        <w:rPr>
          <w:b/>
        </w:rPr>
        <w:t xml:space="preserve">Validación (12%): </w:t>
      </w:r>
      <w:r>
        <w:t>calcula val_F1 en cada epoch y elige el mejor checkpoint; no actualiza pesos.</w:t>
      </w:r>
    </w:p>
    <w:p>
      <w:pPr>
        <w:pStyle w:val="ListBullet"/>
        <w:jc w:val="both"/>
      </w:pPr>
      <w:r>
        <w:rPr>
          <w:b/>
        </w:rPr>
        <w:t xml:space="preserve">Prueba (20%): </w:t>
      </w:r>
      <w:r>
        <w:t>solo mide el checkpoint ya elegido; nunca se usa para tomar decisiones.</w:t>
      </w:r>
    </w:p>
    <w:p>
      <w:pPr>
        <w:jc w:val="both"/>
      </w:pPr>
      <w:r>
        <w:t>Limitación: la partición se hace a nivel de imagen individual, sin agrupar imágenes de una misma captura o ejemplar. Si el conjunto contiene varias imágenes de una misma captura, pueden quedar en conjuntos distintos y elevar las métricas de prueba.</w:t>
      </w:r>
    </w:p>
    <w:p>
      <w:pPr>
        <w:pStyle w:val="Heading3"/>
      </w:pPr>
      <w:r>
        <w:t>Hiperparámetros</w:t>
      </w:r>
    </w:p>
    <w:p>
      <w:pPr>
        <w:pStyle w:val="ListBullet"/>
        <w:jc w:val="both"/>
      </w:pPr>
      <w:r>
        <w:rPr>
          <w:b/>
        </w:rPr>
        <w:t xml:space="preserve">Inicialización: </w:t>
      </w:r>
      <w:r>
        <w:t>pesos preentrenados (ImageNet; en DINOv2-Small, pesos auto-supervisados de DINOv2) y fine-tuning completo de toda la arquitectura.</w:t>
      </w:r>
    </w:p>
    <w:p>
      <w:pPr>
        <w:pStyle w:val="ListBullet"/>
        <w:jc w:val="both"/>
      </w:pPr>
      <w:r>
        <w:rPr>
          <w:b/>
        </w:rPr>
        <w:t xml:space="preserve">Optimización: </w:t>
      </w:r>
      <w:r>
        <w:t>AdamW (learning rate 1e-4, weight decay 0.05); 3 epochs de warmup lineal y luego scheduler coseno; en los Transformer, el backbone usa un learning rate 10 veces menor que la cabeza.</w:t>
      </w:r>
    </w:p>
    <w:p>
      <w:pPr>
        <w:pStyle w:val="ListBullet"/>
        <w:jc w:val="both"/>
      </w:pPr>
      <w:r>
        <w:rPr>
          <w:b/>
        </w:rPr>
        <w:t xml:space="preserve">Pérdida: </w:t>
      </w:r>
      <w:r>
        <w:t>Focal Loss (γ = 2) con label smoothing 0.1; gradient clipping con norma máxima 1.0.</w:t>
      </w:r>
    </w:p>
    <w:p>
      <w:pPr>
        <w:pStyle w:val="ListBullet"/>
        <w:jc w:val="both"/>
      </w:pPr>
      <w:r>
        <w:rPr>
          <w:b/>
        </w:rPr>
        <w:t xml:space="preserve">Entrada: </w:t>
      </w:r>
      <w:r>
        <w:t>CNN: 256×256 px, batch size 16. Transformer: 224×224 px, batch size 8.</w:t>
      </w:r>
    </w:p>
    <w:p>
      <w:pPr>
        <w:pStyle w:val="ListBullet"/>
        <w:jc w:val="both"/>
      </w:pPr>
      <w:r>
        <w:rPr>
          <w:b/>
        </w:rPr>
        <w:t xml:space="preserve">Duración: </w:t>
      </w:r>
      <w:r>
        <w:t>máximo 30 epochs con early stopping de paciencia 7.</w:t>
      </w:r>
    </w:p>
    <w:p>
      <w:pPr>
        <w:pStyle w:val="ListBullet"/>
        <w:jc w:val="both"/>
      </w:pPr>
      <w:r>
        <w:rPr>
          <w:b/>
        </w:rPr>
        <w:t xml:space="preserve">Data augmentation (solo entrenamiento): </w:t>
      </w:r>
      <w:r>
        <w:t>recorte aleatorio, volteos, variación de color, escala de grises, desenfoque, rotación de ±15° y borrado aleatorio.</w:t>
      </w:r>
    </w:p>
    <w:p>
      <w:pPr>
        <w:pStyle w:val="ListBullet"/>
        <w:jc w:val="both"/>
      </w:pPr>
      <w:r>
        <w:rPr>
          <w:b/>
        </w:rPr>
        <w:t xml:space="preserve">Semilla: </w:t>
      </w:r>
      <w:r>
        <w:t>42 en todas las particiones y entrenamientos. Algunas operaciones en MPS (Apple M2) no son deterministas, por lo que un reentrenamiento puede variar en décimas.</w:t>
      </w:r>
    </w:p>
    <w:p>
      <w:pPr>
        <w:pStyle w:val="Heading3"/>
      </w:pPr>
      <w:r>
        <w:t>Métricas</w:t>
      </w:r>
    </w:p>
    <w:p>
      <w:pPr>
        <w:jc w:val="both"/>
      </w:pPr>
      <w:r>
        <w:t>A partir de la matriz de confusión se calculan exactitud (Accuracy), precisión, sensibilidad (Recall), especificidad y F1-score. Las métricas por clase se calculan tomando cada clase como positiva por turno y se promedian (macro), de modo que fresco y no_fresco pesan igual. La métrica central es el F1 macro. Con las probabilidades de salida se construye la curva ROC y se calcula el AUC. La estabilidad entre particiones se mide con la desviación estándar del F1 de los cinco folds.</w:t>
      </w:r>
    </w:p>
    <w:p>
      <w:pPr>
        <w:pStyle w:val="Heading3"/>
      </w:pPr>
      <w:r>
        <w:t>Escenarios</w:t>
      </w:r>
    </w:p>
    <w:p>
      <w:pPr>
        <w:pStyle w:val="ListBullet"/>
        <w:jc w:val="both"/>
      </w:pPr>
      <w:r>
        <w:rPr>
          <w:b/>
        </w:rPr>
        <w:t xml:space="preserve">Intra-dataset: </w:t>
      </w:r>
      <w:r>
        <w:t>entrenamiento y prueba en Mendeley (secciones 3.4 a 3.6), con los diez candidatos.</w:t>
      </w:r>
    </w:p>
    <w:p>
      <w:pPr>
        <w:pStyle w:val="ListBullet"/>
        <w:jc w:val="both"/>
      </w:pPr>
      <w:r>
        <w:rPr>
          <w:b/>
        </w:rPr>
        <w:t xml:space="preserve">Cross-dataset: </w:t>
      </w:r>
      <w:r>
        <w:t>Mendeley → OneDrive (Trucha) y Mendeley → Kaggle (Rohu), solo con los modelos de referencia (secciones 3.7 y 3.8).</w:t>
      </w:r>
    </w:p>
    <w:p>
      <w:pPr>
        <w:jc w:val="both"/>
      </w:pPr>
      <w:r>
        <w:rPr>
          <w:b/>
        </w:rPr>
        <w:t xml:space="preserve">Resultado de la sección. </w:t>
      </w:r>
      <w:r>
        <w:t>protocolo experimental común para los diez candidatos.</w:t>
      </w:r>
    </w:p>
    <w:p>
      <w:pPr>
        <w:pStyle w:val="Heading2"/>
      </w:pPr>
      <w:r>
        <w:t>3.4. Implementación de los modelos candidatos</w:t>
      </w:r>
    </w:p>
    <w:p>
      <w:pPr>
        <w:jc w:val="both"/>
      </w:pPr>
      <w:r>
        <w:t>Cada uno de los diez modelos se entrena en cada uno de los cinco folds: 50 entrenamientos modelo–fold, todos bajo el protocolo de la sección 3.3. La implementación usa Python con PyTorch y torchvision, timm como repositorio de arquitecturas, scikit-learn para la partición y las métricas, y pandas, numpy y matplotlib para el tratamiento de resultados. El entorno de ejecución es una MacBook con chip Apple M2 y aceleración Metal Performance Shaders (MPS).</w:t>
      </w:r>
    </w:p>
    <w:p>
      <w:pPr>
        <w:jc w:val="both"/>
      </w:pPr>
      <w:r>
        <w:t>En cada epoch se calcula val_F1. Si supera el mejor valor registrado en ese fold, el checkpoint se guarda como el nuevo mejor modelo. Si se acumulan siete epochs sin mejora, el entrenamiento se detiene antes de los 30 epochs (early stopping). Al terminar, se recarga el mejor checkpoint, que no es necesariamente el del último epoch.</w:t>
      </w:r>
    </w:p>
    <w:p>
      <w:pPr>
        <w:jc w:val="both"/>
      </w:pPr>
      <w:r>
        <w:t>Los pesos se aprenden con entrenamiento, el checkpoint se elige con validación y el desempeño se mide con prueba. Esta separación evita usar la prueba para tomar decisiones durante el entrenamiento.</w:t>
      </w:r>
    </w:p>
    <w:p>
      <w:pPr>
        <w:pStyle w:val="ListBullet"/>
        <w:jc w:val="both"/>
      </w:pPr>
      <w:r>
        <w:rPr>
          <w:b/>
        </w:rPr>
        <w:t xml:space="preserve">Entrenamientos: </w:t>
      </w:r>
      <w:r>
        <w:t>10 modelos × 5 folds = 50.</w:t>
      </w:r>
    </w:p>
    <w:p>
      <w:pPr>
        <w:pStyle w:val="ListBullet"/>
        <w:jc w:val="both"/>
      </w:pPr>
      <w:r>
        <w:rPr>
          <w:b/>
        </w:rPr>
        <w:t xml:space="preserve">Checkpoint que pasa a prueba: </w:t>
      </w:r>
      <w:r>
        <w:t>el de mejor val_F1 macro del fold.</w:t>
      </w:r>
    </w:p>
    <w:p>
      <w:pPr>
        <w:pStyle w:val="ListBullet"/>
        <w:jc w:val="both"/>
      </w:pPr>
      <w:r>
        <w:rPr>
          <w:b/>
        </w:rPr>
        <w:t xml:space="preserve">Detalle por modelo: </w:t>
      </w:r>
      <w:r>
        <w:t>curvas de val_F1 por epoch y resultados por fold en Documentacion_Tecnica_10_Modelos.docx, sección 3.4.</w:t>
      </w:r>
    </w:p>
    <w:p>
      <w:pPr>
        <w:jc w:val="both"/>
      </w:pPr>
      <w:r>
        <w:rPr>
          <w:b/>
        </w:rPr>
        <w:t xml:space="preserve">Resultado de la sección. </w:t>
      </w:r>
      <w:r>
        <w:t>50 checkpoints entrenados, cinco por modelo candidato.</w:t>
      </w:r>
    </w:p>
    <w:p>
      <w:pPr>
        <w:pStyle w:val="Heading2"/>
      </w:pPr>
      <w:r>
        <w:t>3.5. Evaluación intra-dataset de los modelos candidatos</w:t>
      </w:r>
    </w:p>
    <w:p>
      <w:pPr>
        <w:jc w:val="both"/>
      </w:pPr>
      <w:r>
        <w:t>Cada checkpoint se evalúa una sola vez sobre la prueba de su fold. Como los cinco conjuntos de prueba son disjuntos y cubren las 8,000 imágenes, sus predicciones se concatenan en 8,000 predicciones out-of-fold (OOF): cada imagen se predice con un modelo que no la vio en el entrenamiento. Sobre ellas se recalculan las métricas globales (pooled); la matriz de confusión pooled es la suma de las cinco matrices de prueba. Además, se reporta el F1 de los cinco folds como media ± desviación estándar.</w:t>
      </w:r>
    </w:p>
    <w:p>
      <w:r>
        <w:rPr>
          <w:b/>
        </w:rPr>
        <w:t>Tabla 3.2</w:t>
      </w:r>
    </w:p>
    <w:p>
      <w:r>
        <w:rPr>
          <w:i/>
        </w:rPr>
        <w:t>Desempeño intra-dataset de los diez modelos candidatos en Mendeley (pooled, 8,000 predicciones OOF)</w:t>
      </w:r>
    </w:p>
    <w:tbl>
      <w:tblPr>
        <w:tblStyle w:val="TableGrid"/>
        <w:tblW w:type="auto" w:w="0"/>
        <w:jc w:val="center"/>
        <w:tblLayout w:type="fixed"/>
        <w:tblLook w:firstColumn="1" w:firstRow="1" w:lastColumn="0" w:lastRow="0" w:noHBand="0" w:noVBand="1" w:val="04A0"/>
      </w:tblPr>
      <w:tblGrid>
        <w:gridCol w:w="1871"/>
        <w:gridCol w:w="964"/>
        <w:gridCol w:w="964"/>
        <w:gridCol w:w="1134"/>
        <w:gridCol w:w="907"/>
        <w:gridCol w:w="1191"/>
        <w:gridCol w:w="850"/>
        <w:gridCol w:w="1191"/>
      </w:tblGrid>
      <w:tr>
        <w:tc>
          <w:tcPr>
            <w:tcW w:type="dxa" w:w="1871"/>
            <w:shd w:val="clear" w:color="auto" w:fill="D9E2F3"/>
          </w:tcPr>
          <w:p>
            <w:r>
              <w:rPr>
                <w:b/>
                <w:sz w:val="19"/>
              </w:rPr>
              <w:t>Modelo</w:t>
            </w:r>
          </w:p>
        </w:tc>
        <w:tc>
          <w:tcPr>
            <w:tcW w:type="dxa" w:w="964"/>
            <w:shd w:val="clear" w:color="auto" w:fill="D9E2F3"/>
          </w:tcPr>
          <w:p>
            <w:r>
              <w:rPr>
                <w:b/>
                <w:sz w:val="19"/>
              </w:rPr>
              <w:t>Exactitud (%)</w:t>
            </w:r>
          </w:p>
        </w:tc>
        <w:tc>
          <w:tcPr>
            <w:tcW w:type="dxa" w:w="964"/>
            <w:shd w:val="clear" w:color="auto" w:fill="D9E2F3"/>
          </w:tcPr>
          <w:p>
            <w:r>
              <w:rPr>
                <w:b/>
                <w:sz w:val="19"/>
              </w:rPr>
              <w:t>Precisión (%)</w:t>
            </w:r>
          </w:p>
        </w:tc>
        <w:tc>
          <w:tcPr>
            <w:tcW w:type="dxa" w:w="1134"/>
            <w:shd w:val="clear" w:color="auto" w:fill="D9E2F3"/>
          </w:tcPr>
          <w:p>
            <w:r>
              <w:rPr>
                <w:b/>
                <w:sz w:val="19"/>
              </w:rPr>
              <w:t>Sensibilidad (%)</w:t>
            </w:r>
          </w:p>
        </w:tc>
        <w:tc>
          <w:tcPr>
            <w:tcW w:type="dxa" w:w="907"/>
            <w:shd w:val="clear" w:color="auto" w:fill="D9E2F3"/>
          </w:tcPr>
          <w:p>
            <w:r>
              <w:rPr>
                <w:b/>
                <w:sz w:val="19"/>
              </w:rPr>
              <w:t>F1 macro (%)</w:t>
            </w:r>
          </w:p>
        </w:tc>
        <w:tc>
          <w:tcPr>
            <w:tcW w:type="dxa" w:w="1191"/>
            <w:shd w:val="clear" w:color="auto" w:fill="D9E2F3"/>
          </w:tcPr>
          <w:p>
            <w:r>
              <w:rPr>
                <w:b/>
                <w:sz w:val="19"/>
              </w:rPr>
              <w:t>Especificidad (%)</w:t>
            </w:r>
          </w:p>
        </w:tc>
        <w:tc>
          <w:tcPr>
            <w:tcW w:type="dxa" w:w="850"/>
            <w:shd w:val="clear" w:color="auto" w:fill="D9E2F3"/>
          </w:tcPr>
          <w:p>
            <w:r>
              <w:rPr>
                <w:b/>
                <w:sz w:val="19"/>
              </w:rPr>
              <w:t>AUC</w:t>
            </w:r>
          </w:p>
        </w:tc>
        <w:tc>
          <w:tcPr>
            <w:tcW w:type="dxa" w:w="1191"/>
            <w:shd w:val="clear" w:color="auto" w:fill="D9E2F3"/>
          </w:tcPr>
          <w:p>
            <w:r>
              <w:rPr>
                <w:b/>
                <w:sz w:val="19"/>
              </w:rPr>
              <w:t>F1 por fold (%)</w:t>
            </w:r>
          </w:p>
        </w:tc>
      </w:tr>
      <w:tr>
        <w:tc>
          <w:tcPr>
            <w:tcW w:type="dxa" w:w="1871"/>
            <w:shd w:val="clear" w:color="auto" w:fill="FFF2CC"/>
          </w:tcPr>
          <w:p>
            <w:r>
              <w:rPr>
                <w:b/>
                <w:sz w:val="19"/>
              </w:rPr>
              <w:t>ViT-Base/16</w:t>
            </w:r>
          </w:p>
        </w:tc>
        <w:tc>
          <w:tcPr>
            <w:tcW w:type="dxa" w:w="964"/>
            <w:shd w:val="clear" w:color="auto" w:fill="FFF2CC"/>
          </w:tcPr>
          <w:p>
            <w:r>
              <w:rPr>
                <w:b/>
                <w:sz w:val="19"/>
              </w:rPr>
              <w:t>96.96</w:t>
            </w:r>
          </w:p>
        </w:tc>
        <w:tc>
          <w:tcPr>
            <w:tcW w:type="dxa" w:w="964"/>
            <w:shd w:val="clear" w:color="auto" w:fill="FFF2CC"/>
          </w:tcPr>
          <w:p>
            <w:r>
              <w:rPr>
                <w:b/>
                <w:sz w:val="19"/>
              </w:rPr>
              <w:t>96.97</w:t>
            </w:r>
          </w:p>
        </w:tc>
        <w:tc>
          <w:tcPr>
            <w:tcW w:type="dxa" w:w="1134"/>
            <w:shd w:val="clear" w:color="auto" w:fill="FFF2CC"/>
          </w:tcPr>
          <w:p>
            <w:r>
              <w:rPr>
                <w:b/>
                <w:sz w:val="19"/>
              </w:rPr>
              <w:t>96.96</w:t>
            </w:r>
          </w:p>
        </w:tc>
        <w:tc>
          <w:tcPr>
            <w:tcW w:type="dxa" w:w="907"/>
            <w:shd w:val="clear" w:color="auto" w:fill="FFF2CC"/>
          </w:tcPr>
          <w:p>
            <w:r>
              <w:rPr>
                <w:b/>
                <w:sz w:val="19"/>
              </w:rPr>
              <w:t>96.96</w:t>
            </w:r>
          </w:p>
        </w:tc>
        <w:tc>
          <w:tcPr>
            <w:tcW w:type="dxa" w:w="1191"/>
            <w:shd w:val="clear" w:color="auto" w:fill="FFF2CC"/>
          </w:tcPr>
          <w:p>
            <w:r>
              <w:rPr>
                <w:b/>
                <w:sz w:val="19"/>
              </w:rPr>
              <w:t>96.96</w:t>
            </w:r>
          </w:p>
        </w:tc>
        <w:tc>
          <w:tcPr>
            <w:tcW w:type="dxa" w:w="850"/>
            <w:shd w:val="clear" w:color="auto" w:fill="FFF2CC"/>
          </w:tcPr>
          <w:p>
            <w:r>
              <w:rPr>
                <w:b/>
                <w:sz w:val="19"/>
              </w:rPr>
              <w:t>0.9900</w:t>
            </w:r>
          </w:p>
        </w:tc>
        <w:tc>
          <w:tcPr>
            <w:tcW w:type="dxa" w:w="1191"/>
            <w:shd w:val="clear" w:color="auto" w:fill="FFF2CC"/>
          </w:tcPr>
          <w:p>
            <w:r>
              <w:rPr>
                <w:b/>
                <w:sz w:val="19"/>
              </w:rPr>
              <w:t>96.96 ± 0.28</w:t>
            </w:r>
          </w:p>
        </w:tc>
      </w:tr>
      <w:tr>
        <w:tc>
          <w:tcPr>
            <w:tcW w:type="dxa" w:w="1871"/>
            <w:shd w:val="clear" w:color="auto" w:fill="FFF2CC"/>
          </w:tcPr>
          <w:p>
            <w:r>
              <w:rPr>
                <w:b/>
                <w:sz w:val="19"/>
              </w:rPr>
              <w:t>DenseNet-121</w:t>
            </w:r>
          </w:p>
        </w:tc>
        <w:tc>
          <w:tcPr>
            <w:tcW w:type="dxa" w:w="964"/>
            <w:shd w:val="clear" w:color="auto" w:fill="FFF2CC"/>
          </w:tcPr>
          <w:p>
            <w:r>
              <w:rPr>
                <w:b/>
                <w:sz w:val="19"/>
              </w:rPr>
              <w:t>95.66</w:t>
            </w:r>
          </w:p>
        </w:tc>
        <w:tc>
          <w:tcPr>
            <w:tcW w:type="dxa" w:w="964"/>
            <w:shd w:val="clear" w:color="auto" w:fill="FFF2CC"/>
          </w:tcPr>
          <w:p>
            <w:r>
              <w:rPr>
                <w:b/>
                <w:sz w:val="19"/>
              </w:rPr>
              <w:t>95.68</w:t>
            </w:r>
          </w:p>
        </w:tc>
        <w:tc>
          <w:tcPr>
            <w:tcW w:type="dxa" w:w="1134"/>
            <w:shd w:val="clear" w:color="auto" w:fill="FFF2CC"/>
          </w:tcPr>
          <w:p>
            <w:r>
              <w:rPr>
                <w:b/>
                <w:sz w:val="19"/>
              </w:rPr>
              <w:t>95.66</w:t>
            </w:r>
          </w:p>
        </w:tc>
        <w:tc>
          <w:tcPr>
            <w:tcW w:type="dxa" w:w="907"/>
            <w:shd w:val="clear" w:color="auto" w:fill="FFF2CC"/>
          </w:tcPr>
          <w:p>
            <w:r>
              <w:rPr>
                <w:b/>
                <w:sz w:val="19"/>
              </w:rPr>
              <w:t>95.66</w:t>
            </w:r>
          </w:p>
        </w:tc>
        <w:tc>
          <w:tcPr>
            <w:tcW w:type="dxa" w:w="1191"/>
            <w:shd w:val="clear" w:color="auto" w:fill="FFF2CC"/>
          </w:tcPr>
          <w:p>
            <w:r>
              <w:rPr>
                <w:b/>
                <w:sz w:val="19"/>
              </w:rPr>
              <w:t>95.66</w:t>
            </w:r>
          </w:p>
        </w:tc>
        <w:tc>
          <w:tcPr>
            <w:tcW w:type="dxa" w:w="850"/>
            <w:shd w:val="clear" w:color="auto" w:fill="FFF2CC"/>
          </w:tcPr>
          <w:p>
            <w:r>
              <w:rPr>
                <w:b/>
                <w:sz w:val="19"/>
              </w:rPr>
              <w:t>0.9906</w:t>
            </w:r>
          </w:p>
        </w:tc>
        <w:tc>
          <w:tcPr>
            <w:tcW w:type="dxa" w:w="1191"/>
            <w:shd w:val="clear" w:color="auto" w:fill="FFF2CC"/>
          </w:tcPr>
          <w:p>
            <w:r>
              <w:rPr>
                <w:b/>
                <w:sz w:val="19"/>
              </w:rPr>
              <w:t>95.66 ± 0.79</w:t>
            </w:r>
          </w:p>
        </w:tc>
      </w:tr>
      <w:tr>
        <w:tc>
          <w:tcPr>
            <w:tcW w:type="dxa" w:w="1871"/>
          </w:tcPr>
          <w:p>
            <w:r>
              <w:rPr>
                <w:sz w:val="19"/>
              </w:rPr>
              <w:t>Swin-Base</w:t>
            </w:r>
          </w:p>
        </w:tc>
        <w:tc>
          <w:tcPr>
            <w:tcW w:type="dxa" w:w="964"/>
          </w:tcPr>
          <w:p>
            <w:r>
              <w:rPr>
                <w:sz w:val="19"/>
              </w:rPr>
              <w:t>95.56</w:t>
            </w:r>
          </w:p>
        </w:tc>
        <w:tc>
          <w:tcPr>
            <w:tcW w:type="dxa" w:w="964"/>
          </w:tcPr>
          <w:p>
            <w:r>
              <w:rPr>
                <w:sz w:val="19"/>
              </w:rPr>
              <w:t>95.59</w:t>
            </w:r>
          </w:p>
        </w:tc>
        <w:tc>
          <w:tcPr>
            <w:tcW w:type="dxa" w:w="1134"/>
          </w:tcPr>
          <w:p>
            <w:r>
              <w:rPr>
                <w:sz w:val="19"/>
              </w:rPr>
              <w:t>95.56</w:t>
            </w:r>
          </w:p>
        </w:tc>
        <w:tc>
          <w:tcPr>
            <w:tcW w:type="dxa" w:w="907"/>
          </w:tcPr>
          <w:p>
            <w:r>
              <w:rPr>
                <w:sz w:val="19"/>
              </w:rPr>
              <w:t>95.56</w:t>
            </w:r>
          </w:p>
        </w:tc>
        <w:tc>
          <w:tcPr>
            <w:tcW w:type="dxa" w:w="1191"/>
          </w:tcPr>
          <w:p>
            <w:r>
              <w:rPr>
                <w:sz w:val="19"/>
              </w:rPr>
              <w:t>95.56</w:t>
            </w:r>
          </w:p>
        </w:tc>
        <w:tc>
          <w:tcPr>
            <w:tcW w:type="dxa" w:w="850"/>
          </w:tcPr>
          <w:p>
            <w:r>
              <w:rPr>
                <w:sz w:val="19"/>
              </w:rPr>
              <w:t>0.9889</w:t>
            </w:r>
          </w:p>
        </w:tc>
        <w:tc>
          <w:tcPr>
            <w:tcW w:type="dxa" w:w="1191"/>
          </w:tcPr>
          <w:p>
            <w:r>
              <w:rPr>
                <w:sz w:val="19"/>
              </w:rPr>
              <w:t>95.56 ± 0.80</w:t>
            </w:r>
          </w:p>
        </w:tc>
      </w:tr>
      <w:tr>
        <w:tc>
          <w:tcPr>
            <w:tcW w:type="dxa" w:w="1871"/>
          </w:tcPr>
          <w:p>
            <w:r>
              <w:rPr>
                <w:sz w:val="19"/>
              </w:rPr>
              <w:t>DINOv2-Small</w:t>
            </w:r>
          </w:p>
        </w:tc>
        <w:tc>
          <w:tcPr>
            <w:tcW w:type="dxa" w:w="964"/>
          </w:tcPr>
          <w:p>
            <w:r>
              <w:rPr>
                <w:sz w:val="19"/>
              </w:rPr>
              <w:t>95.44</w:t>
            </w:r>
          </w:p>
        </w:tc>
        <w:tc>
          <w:tcPr>
            <w:tcW w:type="dxa" w:w="964"/>
          </w:tcPr>
          <w:p>
            <w:r>
              <w:rPr>
                <w:sz w:val="19"/>
              </w:rPr>
              <w:t>95.44</w:t>
            </w:r>
          </w:p>
        </w:tc>
        <w:tc>
          <w:tcPr>
            <w:tcW w:type="dxa" w:w="1134"/>
          </w:tcPr>
          <w:p>
            <w:r>
              <w:rPr>
                <w:sz w:val="19"/>
              </w:rPr>
              <w:t>95.44</w:t>
            </w:r>
          </w:p>
        </w:tc>
        <w:tc>
          <w:tcPr>
            <w:tcW w:type="dxa" w:w="907"/>
          </w:tcPr>
          <w:p>
            <w:r>
              <w:rPr>
                <w:sz w:val="19"/>
              </w:rPr>
              <w:t>95.44</w:t>
            </w:r>
          </w:p>
        </w:tc>
        <w:tc>
          <w:tcPr>
            <w:tcW w:type="dxa" w:w="1191"/>
          </w:tcPr>
          <w:p>
            <w:r>
              <w:rPr>
                <w:sz w:val="19"/>
              </w:rPr>
              <w:t>95.44</w:t>
            </w:r>
          </w:p>
        </w:tc>
        <w:tc>
          <w:tcPr>
            <w:tcW w:type="dxa" w:w="850"/>
          </w:tcPr>
          <w:p>
            <w:r>
              <w:rPr>
                <w:sz w:val="19"/>
              </w:rPr>
              <w:t>0.9860</w:t>
            </w:r>
          </w:p>
        </w:tc>
        <w:tc>
          <w:tcPr>
            <w:tcW w:type="dxa" w:w="1191"/>
          </w:tcPr>
          <w:p>
            <w:r>
              <w:rPr>
                <w:sz w:val="19"/>
              </w:rPr>
              <w:t>95.44 ± 0.74</w:t>
            </w:r>
          </w:p>
        </w:tc>
      </w:tr>
      <w:tr>
        <w:tc>
          <w:tcPr>
            <w:tcW w:type="dxa" w:w="1871"/>
          </w:tcPr>
          <w:p>
            <w:r>
              <w:rPr>
                <w:sz w:val="19"/>
              </w:rPr>
              <w:t>EfficientNet-B0</w:t>
            </w:r>
          </w:p>
        </w:tc>
        <w:tc>
          <w:tcPr>
            <w:tcW w:type="dxa" w:w="964"/>
          </w:tcPr>
          <w:p>
            <w:r>
              <w:rPr>
                <w:sz w:val="19"/>
              </w:rPr>
              <w:t>94.27</w:t>
            </w:r>
          </w:p>
        </w:tc>
        <w:tc>
          <w:tcPr>
            <w:tcW w:type="dxa" w:w="964"/>
          </w:tcPr>
          <w:p>
            <w:r>
              <w:rPr>
                <w:sz w:val="19"/>
              </w:rPr>
              <w:t>94.28</w:t>
            </w:r>
          </w:p>
        </w:tc>
        <w:tc>
          <w:tcPr>
            <w:tcW w:type="dxa" w:w="1134"/>
          </w:tcPr>
          <w:p>
            <w:r>
              <w:rPr>
                <w:sz w:val="19"/>
              </w:rPr>
              <w:t>94.27</w:t>
            </w:r>
          </w:p>
        </w:tc>
        <w:tc>
          <w:tcPr>
            <w:tcW w:type="dxa" w:w="907"/>
          </w:tcPr>
          <w:p>
            <w:r>
              <w:rPr>
                <w:sz w:val="19"/>
              </w:rPr>
              <w:t>94.27</w:t>
            </w:r>
          </w:p>
        </w:tc>
        <w:tc>
          <w:tcPr>
            <w:tcW w:type="dxa" w:w="1191"/>
          </w:tcPr>
          <w:p>
            <w:r>
              <w:rPr>
                <w:sz w:val="19"/>
              </w:rPr>
              <w:t>94.27</w:t>
            </w:r>
          </w:p>
        </w:tc>
        <w:tc>
          <w:tcPr>
            <w:tcW w:type="dxa" w:w="850"/>
          </w:tcPr>
          <w:p>
            <w:r>
              <w:rPr>
                <w:sz w:val="19"/>
              </w:rPr>
              <w:t>0.9859</w:t>
            </w:r>
          </w:p>
        </w:tc>
        <w:tc>
          <w:tcPr>
            <w:tcW w:type="dxa" w:w="1191"/>
          </w:tcPr>
          <w:p>
            <w:r>
              <w:rPr>
                <w:sz w:val="19"/>
              </w:rPr>
              <w:t>94.27 ± 0.59</w:t>
            </w:r>
          </w:p>
        </w:tc>
      </w:tr>
      <w:tr>
        <w:tc>
          <w:tcPr>
            <w:tcW w:type="dxa" w:w="1871"/>
          </w:tcPr>
          <w:p>
            <w:r>
              <w:rPr>
                <w:sz w:val="19"/>
              </w:rPr>
              <w:t>EfficientNet-Lite0</w:t>
            </w:r>
          </w:p>
        </w:tc>
        <w:tc>
          <w:tcPr>
            <w:tcW w:type="dxa" w:w="964"/>
          </w:tcPr>
          <w:p>
            <w:r>
              <w:rPr>
                <w:sz w:val="19"/>
              </w:rPr>
              <w:t>91.02</w:t>
            </w:r>
          </w:p>
        </w:tc>
        <w:tc>
          <w:tcPr>
            <w:tcW w:type="dxa" w:w="964"/>
          </w:tcPr>
          <w:p>
            <w:r>
              <w:rPr>
                <w:sz w:val="19"/>
              </w:rPr>
              <w:t>91.03</w:t>
            </w:r>
          </w:p>
        </w:tc>
        <w:tc>
          <w:tcPr>
            <w:tcW w:type="dxa" w:w="1134"/>
          </w:tcPr>
          <w:p>
            <w:r>
              <w:rPr>
                <w:sz w:val="19"/>
              </w:rPr>
              <w:t>91.02</w:t>
            </w:r>
          </w:p>
        </w:tc>
        <w:tc>
          <w:tcPr>
            <w:tcW w:type="dxa" w:w="907"/>
          </w:tcPr>
          <w:p>
            <w:r>
              <w:rPr>
                <w:sz w:val="19"/>
              </w:rPr>
              <w:t>91.02</w:t>
            </w:r>
          </w:p>
        </w:tc>
        <w:tc>
          <w:tcPr>
            <w:tcW w:type="dxa" w:w="1191"/>
          </w:tcPr>
          <w:p>
            <w:r>
              <w:rPr>
                <w:sz w:val="19"/>
              </w:rPr>
              <w:t>91.02</w:t>
            </w:r>
          </w:p>
        </w:tc>
        <w:tc>
          <w:tcPr>
            <w:tcW w:type="dxa" w:w="850"/>
          </w:tcPr>
          <w:p>
            <w:r>
              <w:rPr>
                <w:sz w:val="19"/>
              </w:rPr>
              <w:t>0.9700</w:t>
            </w:r>
          </w:p>
        </w:tc>
        <w:tc>
          <w:tcPr>
            <w:tcW w:type="dxa" w:w="1191"/>
          </w:tcPr>
          <w:p>
            <w:r>
              <w:rPr>
                <w:sz w:val="19"/>
              </w:rPr>
              <w:t>91.02 ± 1.38</w:t>
            </w:r>
          </w:p>
        </w:tc>
      </w:tr>
      <w:tr>
        <w:tc>
          <w:tcPr>
            <w:tcW w:type="dxa" w:w="1871"/>
          </w:tcPr>
          <w:p>
            <w:r>
              <w:rPr>
                <w:sz w:val="19"/>
              </w:rPr>
              <w:t>MobileNetV3-Small</w:t>
            </w:r>
          </w:p>
        </w:tc>
        <w:tc>
          <w:tcPr>
            <w:tcW w:type="dxa" w:w="964"/>
          </w:tcPr>
          <w:p>
            <w:r>
              <w:rPr>
                <w:sz w:val="19"/>
              </w:rPr>
              <w:t>90.66</w:t>
            </w:r>
          </w:p>
        </w:tc>
        <w:tc>
          <w:tcPr>
            <w:tcW w:type="dxa" w:w="964"/>
          </w:tcPr>
          <w:p>
            <w:r>
              <w:rPr>
                <w:sz w:val="19"/>
              </w:rPr>
              <w:t>90.67</w:t>
            </w:r>
          </w:p>
        </w:tc>
        <w:tc>
          <w:tcPr>
            <w:tcW w:type="dxa" w:w="1134"/>
          </w:tcPr>
          <w:p>
            <w:r>
              <w:rPr>
                <w:sz w:val="19"/>
              </w:rPr>
              <w:t>90.66</w:t>
            </w:r>
          </w:p>
        </w:tc>
        <w:tc>
          <w:tcPr>
            <w:tcW w:type="dxa" w:w="907"/>
          </w:tcPr>
          <w:p>
            <w:r>
              <w:rPr>
                <w:sz w:val="19"/>
              </w:rPr>
              <w:t>90.66</w:t>
            </w:r>
          </w:p>
        </w:tc>
        <w:tc>
          <w:tcPr>
            <w:tcW w:type="dxa" w:w="1191"/>
          </w:tcPr>
          <w:p>
            <w:r>
              <w:rPr>
                <w:sz w:val="19"/>
              </w:rPr>
              <w:t>90.66</w:t>
            </w:r>
          </w:p>
        </w:tc>
        <w:tc>
          <w:tcPr>
            <w:tcW w:type="dxa" w:w="850"/>
          </w:tcPr>
          <w:p>
            <w:r>
              <w:rPr>
                <w:sz w:val="19"/>
              </w:rPr>
              <w:t>0.9706</w:t>
            </w:r>
          </w:p>
        </w:tc>
        <w:tc>
          <w:tcPr>
            <w:tcW w:type="dxa" w:w="1191"/>
          </w:tcPr>
          <w:p>
            <w:r>
              <w:rPr>
                <w:sz w:val="19"/>
              </w:rPr>
              <w:t>90.66 ± 1.49</w:t>
            </w:r>
          </w:p>
        </w:tc>
      </w:tr>
      <w:tr>
        <w:tc>
          <w:tcPr>
            <w:tcW w:type="dxa" w:w="1871"/>
          </w:tcPr>
          <w:p>
            <w:r>
              <w:rPr>
                <w:sz w:val="19"/>
              </w:rPr>
              <w:t>ResNet-50</w:t>
            </w:r>
          </w:p>
        </w:tc>
        <w:tc>
          <w:tcPr>
            <w:tcW w:type="dxa" w:w="964"/>
          </w:tcPr>
          <w:p>
            <w:r>
              <w:rPr>
                <w:sz w:val="19"/>
              </w:rPr>
              <w:t>89.06</w:t>
            </w:r>
          </w:p>
        </w:tc>
        <w:tc>
          <w:tcPr>
            <w:tcW w:type="dxa" w:w="964"/>
          </w:tcPr>
          <w:p>
            <w:r>
              <w:rPr>
                <w:sz w:val="19"/>
              </w:rPr>
              <w:t>89.06</w:t>
            </w:r>
          </w:p>
        </w:tc>
        <w:tc>
          <w:tcPr>
            <w:tcW w:type="dxa" w:w="1134"/>
          </w:tcPr>
          <w:p>
            <w:r>
              <w:rPr>
                <w:sz w:val="19"/>
              </w:rPr>
              <w:t>89.06</w:t>
            </w:r>
          </w:p>
        </w:tc>
        <w:tc>
          <w:tcPr>
            <w:tcW w:type="dxa" w:w="907"/>
          </w:tcPr>
          <w:p>
            <w:r>
              <w:rPr>
                <w:sz w:val="19"/>
              </w:rPr>
              <w:t>89.06</w:t>
            </w:r>
          </w:p>
        </w:tc>
        <w:tc>
          <w:tcPr>
            <w:tcW w:type="dxa" w:w="1191"/>
          </w:tcPr>
          <w:p>
            <w:r>
              <w:rPr>
                <w:sz w:val="19"/>
              </w:rPr>
              <w:t>89.06</w:t>
            </w:r>
          </w:p>
        </w:tc>
        <w:tc>
          <w:tcPr>
            <w:tcW w:type="dxa" w:w="850"/>
          </w:tcPr>
          <w:p>
            <w:r>
              <w:rPr>
                <w:sz w:val="19"/>
              </w:rPr>
              <w:t>0.9593</w:t>
            </w:r>
          </w:p>
        </w:tc>
        <w:tc>
          <w:tcPr>
            <w:tcW w:type="dxa" w:w="1191"/>
          </w:tcPr>
          <w:p>
            <w:r>
              <w:rPr>
                <w:sz w:val="19"/>
              </w:rPr>
              <w:t>89.06 ± 0.99</w:t>
            </w:r>
          </w:p>
        </w:tc>
      </w:tr>
      <w:tr>
        <w:tc>
          <w:tcPr>
            <w:tcW w:type="dxa" w:w="1871"/>
          </w:tcPr>
          <w:p>
            <w:r>
              <w:rPr>
                <w:sz w:val="19"/>
              </w:rPr>
              <w:t>MobileNetV2</w:t>
            </w:r>
          </w:p>
        </w:tc>
        <w:tc>
          <w:tcPr>
            <w:tcW w:type="dxa" w:w="964"/>
          </w:tcPr>
          <w:p>
            <w:r>
              <w:rPr>
                <w:sz w:val="19"/>
              </w:rPr>
              <w:t>89.01</w:t>
            </w:r>
          </w:p>
        </w:tc>
        <w:tc>
          <w:tcPr>
            <w:tcW w:type="dxa" w:w="964"/>
          </w:tcPr>
          <w:p>
            <w:r>
              <w:rPr>
                <w:sz w:val="19"/>
              </w:rPr>
              <w:t>89.04</w:t>
            </w:r>
          </w:p>
        </w:tc>
        <w:tc>
          <w:tcPr>
            <w:tcW w:type="dxa" w:w="1134"/>
          </w:tcPr>
          <w:p>
            <w:r>
              <w:rPr>
                <w:sz w:val="19"/>
              </w:rPr>
              <w:t>89.01</w:t>
            </w:r>
          </w:p>
        </w:tc>
        <w:tc>
          <w:tcPr>
            <w:tcW w:type="dxa" w:w="907"/>
          </w:tcPr>
          <w:p>
            <w:r>
              <w:rPr>
                <w:sz w:val="19"/>
              </w:rPr>
              <w:t>89.01</w:t>
            </w:r>
          </w:p>
        </w:tc>
        <w:tc>
          <w:tcPr>
            <w:tcW w:type="dxa" w:w="1191"/>
          </w:tcPr>
          <w:p>
            <w:r>
              <w:rPr>
                <w:sz w:val="19"/>
              </w:rPr>
              <w:t>89.01</w:t>
            </w:r>
          </w:p>
        </w:tc>
        <w:tc>
          <w:tcPr>
            <w:tcW w:type="dxa" w:w="850"/>
          </w:tcPr>
          <w:p>
            <w:r>
              <w:rPr>
                <w:sz w:val="19"/>
              </w:rPr>
              <w:t>0.9591</w:t>
            </w:r>
          </w:p>
        </w:tc>
        <w:tc>
          <w:tcPr>
            <w:tcW w:type="dxa" w:w="1191"/>
          </w:tcPr>
          <w:p>
            <w:r>
              <w:rPr>
                <w:sz w:val="19"/>
              </w:rPr>
              <w:t>89.01 ± 0.17</w:t>
            </w:r>
          </w:p>
        </w:tc>
      </w:tr>
      <w:tr>
        <w:tc>
          <w:tcPr>
            <w:tcW w:type="dxa" w:w="1871"/>
          </w:tcPr>
          <w:p>
            <w:r>
              <w:rPr>
                <w:sz w:val="19"/>
              </w:rPr>
              <w:t>MobileNetV1</w:t>
            </w:r>
          </w:p>
        </w:tc>
        <w:tc>
          <w:tcPr>
            <w:tcW w:type="dxa" w:w="964"/>
          </w:tcPr>
          <w:p>
            <w:r>
              <w:rPr>
                <w:sz w:val="19"/>
              </w:rPr>
              <w:t>89.00</w:t>
            </w:r>
          </w:p>
        </w:tc>
        <w:tc>
          <w:tcPr>
            <w:tcW w:type="dxa" w:w="964"/>
          </w:tcPr>
          <w:p>
            <w:r>
              <w:rPr>
                <w:sz w:val="19"/>
              </w:rPr>
              <w:t>89.01</w:t>
            </w:r>
          </w:p>
        </w:tc>
        <w:tc>
          <w:tcPr>
            <w:tcW w:type="dxa" w:w="1134"/>
          </w:tcPr>
          <w:p>
            <w:r>
              <w:rPr>
                <w:sz w:val="19"/>
              </w:rPr>
              <w:t>89.00</w:t>
            </w:r>
          </w:p>
        </w:tc>
        <w:tc>
          <w:tcPr>
            <w:tcW w:type="dxa" w:w="907"/>
          </w:tcPr>
          <w:p>
            <w:r>
              <w:rPr>
                <w:sz w:val="19"/>
              </w:rPr>
              <w:t>89.00</w:t>
            </w:r>
          </w:p>
        </w:tc>
        <w:tc>
          <w:tcPr>
            <w:tcW w:type="dxa" w:w="1191"/>
          </w:tcPr>
          <w:p>
            <w:r>
              <w:rPr>
                <w:sz w:val="19"/>
              </w:rPr>
              <w:t>89.00</w:t>
            </w:r>
          </w:p>
        </w:tc>
        <w:tc>
          <w:tcPr>
            <w:tcW w:type="dxa" w:w="850"/>
          </w:tcPr>
          <w:p>
            <w:r>
              <w:rPr>
                <w:sz w:val="19"/>
              </w:rPr>
              <w:t>0.9556</w:t>
            </w:r>
          </w:p>
        </w:tc>
        <w:tc>
          <w:tcPr>
            <w:tcW w:type="dxa" w:w="1191"/>
          </w:tcPr>
          <w:p>
            <w:r>
              <w:rPr>
                <w:sz w:val="19"/>
              </w:rPr>
              <w:t>89.00 ± 1.63</w:t>
            </w:r>
          </w:p>
        </w:tc>
      </w:tr>
    </w:tbl>
    <w:p>
      <w:r>
        <w:rPr>
          <w:sz w:val="18"/>
        </w:rPr>
        <w:t>Nota. Ordenado por F1 macro. Resaltados los modelos seleccionados en la sección 3.6. Fuente: 3_resultados_test_por_modelo/metricas_pooled_por_modelo.csv y 3_resultados_test_por_modelo/metricas_por_fold.csv.</w:t>
      </w:r>
    </w:p>
    <w:p>
      <w:pPr>
        <w:jc w:val="both"/>
      </w:pPr>
      <w:r>
        <w:t>ViT-Base/16 obtiene el mayor F1 macro (96.96%) y DenseNet-121 el segundo (95.66%), con el mayor AUC de los diez (0.9906). Los cuatro mejores modelos quedan entre 95.4% y 97.0% de F1; los seis restantes, entre 89.0% y 94.3%. Como el conjunto está balanceado, exactitud, sensibilidad y especificidad coinciden prácticamente con el F1.</w:t>
      </w:r>
    </w:p>
    <w:p>
      <w:pPr>
        <w:jc w:val="both"/>
      </w:pPr>
      <w:r>
        <w:rPr>
          <w:b/>
        </w:rPr>
        <w:t xml:space="preserve">Resultado de la sección. </w:t>
      </w:r>
      <w:r>
        <w:t>desempeño comparativo de los diez modelos candidatos. Comparación completa en Documentacion_Tecnica_10_Modelos.docx, sección 3.5; matrices de confusión, curvas ROC y cálculos por fold de cada modelo en su sección 3.4.</w:t>
      </w:r>
    </w:p>
    <w:p>
      <w:pPr>
        <w:pStyle w:val="Heading2"/>
      </w:pPr>
      <w:r>
        <w:t>3.6. Selección de los modelos de referencia</w:t>
      </w:r>
    </w:p>
    <w:p>
      <w:pPr>
        <w:jc w:val="both"/>
      </w:pPr>
      <w:r>
        <w:t>La selección no depende de una sola métrica, sino de cinco criterios complementarios:</w:t>
      </w:r>
    </w:p>
    <w:p>
      <w:pPr>
        <w:pStyle w:val="ListBullet"/>
        <w:jc w:val="both"/>
      </w:pPr>
      <w:r>
        <w:rPr>
          <w:b/>
        </w:rPr>
        <w:t xml:space="preserve">Desempeño: </w:t>
      </w:r>
      <w:r>
        <w:t>F1 macro pooled: ViT-Base/16 es primero (96.96%) y DenseNet-121 segundo (95.66%); Swin-Base (95.56%) y DINOv2-Small (95.44%) quedan después.</w:t>
      </w:r>
    </w:p>
    <w:p>
      <w:pPr>
        <w:pStyle w:val="ListBullet"/>
        <w:jc w:val="both"/>
      </w:pPr>
      <w:r>
        <w:rPr>
          <w:b/>
        </w:rPr>
        <w:t xml:space="preserve">Discriminación: </w:t>
      </w:r>
      <w:r>
        <w:t>DenseNet-121 tiene el mayor AUC de los diez (0.9906) y ViT-Base/16 el segundo (0.9900).</w:t>
      </w:r>
    </w:p>
    <w:p>
      <w:pPr>
        <w:pStyle w:val="ListBullet"/>
        <w:jc w:val="both"/>
      </w:pPr>
      <w:r>
        <w:rPr>
          <w:b/>
        </w:rPr>
        <w:t xml:space="preserve">Estabilidad: </w:t>
      </w:r>
      <w:r>
        <w:t>desviación estándar del F1 entre folds: ViT-Base/16 0.28, la más baja entre los modelos de alto desempeño; DenseNet-121 0.79.</w:t>
      </w:r>
    </w:p>
    <w:p>
      <w:pPr>
        <w:pStyle w:val="ListBullet"/>
        <w:jc w:val="both"/>
      </w:pPr>
      <w:r>
        <w:rPr>
          <w:b/>
        </w:rPr>
        <w:t xml:space="preserve">Eficiencia: </w:t>
      </w:r>
      <w:r>
        <w:t>DenseNet-121 (~7.0M parámetros) logra más del 98% del F1 de ViT-Base/16 (~85.8M) con alrededor del 8% de sus parámetros.</w:t>
      </w:r>
    </w:p>
    <w:p>
      <w:pPr>
        <w:pStyle w:val="ListBullet"/>
        <w:jc w:val="both"/>
      </w:pPr>
      <w:r>
        <w:rPr>
          <w:b/>
        </w:rPr>
        <w:t xml:space="preserve">Diversidad arquitectónica: </w:t>
      </w:r>
      <w:r>
        <w:t>se busca un representante Transformer y uno CNN. Swin-Base tiene un F1 cercano a DenseNet-121, pero es Transformer como ViT-Base/16 y no aporta la comparación ViT frente a CNN.</w:t>
      </w:r>
    </w:p>
    <w:p>
      <w:pPr>
        <w:jc w:val="both"/>
      </w:pPr>
      <w:r>
        <w:t>Con estos criterios se seleccionan ViT-Base/16 (Transformer) y DenseNet-121 (CNN) como modelos de referencia. Ninguno de los dos es el modelo propuesto de la tesis: ambos forman la línea base experimental frente a la cual se comparará el modelo propuesto.</w:t>
      </w:r>
    </w:p>
    <w:p>
      <w:pPr>
        <w:jc w:val="both"/>
      </w:pPr>
      <w:r>
        <w:rPr>
          <w:b/>
        </w:rPr>
        <w:t xml:space="preserve">Resultado de la sección. </w:t>
      </w:r>
      <w:r>
        <w:t>modelos de referencia ViT-Base/16 y DenseNet-121 (línea base experimental). Sustento detallado en Sustento_Seleccion_Modelos.docx (sección 3.6).</w:t>
      </w:r>
    </w:p>
    <w:p>
      <w:pPr>
        <w:pStyle w:val="Heading2"/>
      </w:pPr>
      <w:r>
        <w:t>3.7. Evaluación cross-dataset de los modelos de referencia</w:t>
      </w:r>
    </w:p>
    <w:p>
      <w:pPr>
        <w:jc w:val="both"/>
      </w:pPr>
      <w:r>
        <w:t>Los dos modelos de referencia, entrenados con Mendeley, se llevan a los dominios objetivo con el método congelado (linear probe). El backbone conserva los pesos aprendidos en Mendeley y no se actualiza: sus parámetros no reciben gradiente y permanece en modo de evaluación, de modo que BatchNorm no cambia sus estadísticas. Solo se reentrena la cabeza de clasificación con imágenes del dominio objetivo. Así, el resultado mide cuán transferibles son las características aprendidas en Mendeley.</w:t>
      </w:r>
    </w:p>
    <w:p>
      <w:pPr>
        <w:pStyle w:val="ListBullet"/>
        <w:jc w:val="both"/>
      </w:pPr>
      <w:r>
        <w:rPr>
          <w:b/>
        </w:rPr>
        <w:t xml:space="preserve">Escenarios: </w:t>
      </w:r>
      <w:r>
        <w:t>Mendeley → OneDrive (Trucha, 1,150 imágenes) y Mendeley → Kaggle (Rohu, 1,261 imágenes).</w:t>
      </w:r>
    </w:p>
    <w:p>
      <w:pPr>
        <w:pStyle w:val="ListBullet"/>
        <w:jc w:val="both"/>
      </w:pPr>
      <w:r>
        <w:rPr>
          <w:b/>
        </w:rPr>
        <w:t xml:space="preserve">Partición: </w:t>
      </w:r>
      <w:r>
        <w:t>5 folds con semilla 42: StratifiedKFold en Trucha y StratifiedGroupKFold en Rohu, agrupando fotos casi idénticas para que no queden a la vez en entrenamiento y validación.</w:t>
      </w:r>
    </w:p>
    <w:p>
      <w:pPr>
        <w:pStyle w:val="ListBullet"/>
        <w:jc w:val="both"/>
      </w:pPr>
      <w:r>
        <w:rPr>
          <w:b/>
        </w:rPr>
        <w:t xml:space="preserve">Punto de partida: </w:t>
      </w:r>
      <w:r>
        <w:t>en el fold k se carga el checkpoint de Mendeley del mismo fold k.</w:t>
      </w:r>
    </w:p>
    <w:p>
      <w:pPr>
        <w:pStyle w:val="ListBullet"/>
        <w:jc w:val="both"/>
      </w:pPr>
      <w:r>
        <w:rPr>
          <w:b/>
        </w:rPr>
        <w:t xml:space="preserve">Entrenamiento de la cabeza: </w:t>
      </w:r>
      <w:r>
        <w:t>AdamW (learning rate 1e-4, weight decay 1e-4), scheduler coseno, entropía cruzada, máximo 30 epochs con early stopping de paciencia 8; data augmentation sin duplicar el conjunto de entrenamiento (sin x2).</w:t>
      </w:r>
    </w:p>
    <w:p>
      <w:pPr>
        <w:pStyle w:val="ListBullet"/>
        <w:jc w:val="both"/>
      </w:pPr>
      <w:r>
        <w:rPr>
          <w:b/>
        </w:rPr>
        <w:t xml:space="preserve">Evaluación: </w:t>
      </w:r>
      <w:r>
        <w:t>sobre la validación del fold; el F1 oficial es la media de los cinco folds.</w:t>
      </w:r>
    </w:p>
    <w:p>
      <w:r>
        <w:rPr>
          <w:b/>
        </w:rPr>
        <w:t>Tabla 3.3</w:t>
      </w:r>
    </w:p>
    <w:p>
      <w:r>
        <w:rPr>
          <w:i/>
        </w:rPr>
        <w:t>Desempeño cross-dataset de los modelos de referencia (método congelado)</w:t>
      </w:r>
    </w:p>
    <w:tbl>
      <w:tblPr>
        <w:tblStyle w:val="TableGrid"/>
        <w:tblW w:type="auto" w:w="0"/>
        <w:jc w:val="center"/>
        <w:tblLayout w:type="fixed"/>
        <w:tblLook w:firstColumn="1" w:firstRow="1" w:lastColumn="0" w:lastRow="0" w:noHBand="0" w:noVBand="1" w:val="04A0"/>
      </w:tblPr>
      <w:tblGrid>
        <w:gridCol w:w="1701"/>
        <w:gridCol w:w="1814"/>
        <w:gridCol w:w="1587"/>
        <w:gridCol w:w="1247"/>
        <w:gridCol w:w="1474"/>
        <w:gridCol w:w="1134"/>
      </w:tblGrid>
      <w:tr>
        <w:tc>
          <w:tcPr>
            <w:tcW w:type="dxa" w:w="1701"/>
            <w:shd w:val="clear" w:color="auto" w:fill="D9E2F3"/>
          </w:tcPr>
          <w:p>
            <w:r>
              <w:rPr>
                <w:b/>
                <w:sz w:val="19"/>
              </w:rPr>
              <w:t>Modelo</w:t>
            </w:r>
          </w:p>
        </w:tc>
        <w:tc>
          <w:tcPr>
            <w:tcW w:type="dxa" w:w="1814"/>
            <w:shd w:val="clear" w:color="auto" w:fill="D9E2F3"/>
          </w:tcPr>
          <w:p>
            <w:r>
              <w:rPr>
                <w:b/>
                <w:sz w:val="19"/>
              </w:rPr>
              <w:t>Escenario</w:t>
            </w:r>
          </w:p>
        </w:tc>
        <w:tc>
          <w:tcPr>
            <w:tcW w:type="dxa" w:w="1587"/>
            <w:shd w:val="clear" w:color="auto" w:fill="D9E2F3"/>
          </w:tcPr>
          <w:p>
            <w:r>
              <w:rPr>
                <w:b/>
                <w:sz w:val="19"/>
              </w:rPr>
              <w:t>F1 macro (%, media 5 folds)</w:t>
            </w:r>
          </w:p>
        </w:tc>
        <w:tc>
          <w:tcPr>
            <w:tcW w:type="dxa" w:w="1247"/>
            <w:shd w:val="clear" w:color="auto" w:fill="D9E2F3"/>
          </w:tcPr>
          <w:p>
            <w:r>
              <w:rPr>
                <w:b/>
                <w:sz w:val="19"/>
              </w:rPr>
              <w:t>F1 pooled (%)</w:t>
            </w:r>
          </w:p>
        </w:tc>
        <w:tc>
          <w:tcPr>
            <w:tcW w:type="dxa" w:w="1474"/>
            <w:shd w:val="clear" w:color="auto" w:fill="D9E2F3"/>
          </w:tcPr>
          <w:p>
            <w:r>
              <w:rPr>
                <w:b/>
                <w:sz w:val="19"/>
              </w:rPr>
              <w:t>Exactitud pooled (%)</w:t>
            </w:r>
          </w:p>
        </w:tc>
        <w:tc>
          <w:tcPr>
            <w:tcW w:type="dxa" w:w="1134"/>
            <w:shd w:val="clear" w:color="auto" w:fill="D9E2F3"/>
          </w:tcPr>
          <w:p>
            <w:r>
              <w:rPr>
                <w:b/>
                <w:sz w:val="19"/>
              </w:rPr>
              <w:t>AUC pooled</w:t>
            </w:r>
          </w:p>
        </w:tc>
      </w:tr>
      <w:tr>
        <w:tc>
          <w:tcPr>
            <w:tcW w:type="dxa" w:w="1701"/>
          </w:tcPr>
          <w:p>
            <w:r>
              <w:rPr>
                <w:sz w:val="19"/>
              </w:rPr>
              <w:t>ViT-Base/16</w:t>
            </w:r>
          </w:p>
        </w:tc>
        <w:tc>
          <w:tcPr>
            <w:tcW w:type="dxa" w:w="1814"/>
          </w:tcPr>
          <w:p>
            <w:r>
              <w:rPr>
                <w:sz w:val="19"/>
              </w:rPr>
              <w:t>Mendeley → Trucha</w:t>
            </w:r>
          </w:p>
        </w:tc>
        <w:tc>
          <w:tcPr>
            <w:tcW w:type="dxa" w:w="1587"/>
          </w:tcPr>
          <w:p>
            <w:r>
              <w:rPr>
                <w:sz w:val="19"/>
              </w:rPr>
              <w:t>86.11</w:t>
            </w:r>
          </w:p>
        </w:tc>
        <w:tc>
          <w:tcPr>
            <w:tcW w:type="dxa" w:w="1247"/>
          </w:tcPr>
          <w:p>
            <w:r>
              <w:rPr>
                <w:sz w:val="19"/>
              </w:rPr>
              <w:t>86.18</w:t>
            </w:r>
          </w:p>
        </w:tc>
        <w:tc>
          <w:tcPr>
            <w:tcW w:type="dxa" w:w="1474"/>
          </w:tcPr>
          <w:p>
            <w:r>
              <w:rPr>
                <w:sz w:val="19"/>
              </w:rPr>
              <w:t>86.87</w:t>
            </w:r>
          </w:p>
        </w:tc>
        <w:tc>
          <w:tcPr>
            <w:tcW w:type="dxa" w:w="1134"/>
          </w:tcPr>
          <w:p>
            <w:r>
              <w:rPr>
                <w:sz w:val="19"/>
              </w:rPr>
              <w:t>0.9197</w:t>
            </w:r>
          </w:p>
        </w:tc>
      </w:tr>
      <w:tr>
        <w:tc>
          <w:tcPr>
            <w:tcW w:type="dxa" w:w="1701"/>
          </w:tcPr>
          <w:p>
            <w:r>
              <w:rPr>
                <w:sz w:val="19"/>
              </w:rPr>
              <w:t>ViT-Base/16</w:t>
            </w:r>
          </w:p>
        </w:tc>
        <w:tc>
          <w:tcPr>
            <w:tcW w:type="dxa" w:w="1814"/>
          </w:tcPr>
          <w:p>
            <w:r>
              <w:rPr>
                <w:sz w:val="19"/>
              </w:rPr>
              <w:t>Mendeley → Rohu</w:t>
            </w:r>
          </w:p>
        </w:tc>
        <w:tc>
          <w:tcPr>
            <w:tcW w:type="dxa" w:w="1587"/>
          </w:tcPr>
          <w:p>
            <w:r>
              <w:rPr>
                <w:sz w:val="19"/>
              </w:rPr>
              <w:t>88.17</w:t>
            </w:r>
          </w:p>
        </w:tc>
        <w:tc>
          <w:tcPr>
            <w:tcW w:type="dxa" w:w="1247"/>
          </w:tcPr>
          <w:p>
            <w:r>
              <w:rPr>
                <w:sz w:val="19"/>
              </w:rPr>
              <w:t>87.67</w:t>
            </w:r>
          </w:p>
        </w:tc>
        <w:tc>
          <w:tcPr>
            <w:tcW w:type="dxa" w:w="1474"/>
          </w:tcPr>
          <w:p>
            <w:r>
              <w:rPr>
                <w:sz w:val="19"/>
              </w:rPr>
              <w:t>89.45</w:t>
            </w:r>
          </w:p>
        </w:tc>
        <w:tc>
          <w:tcPr>
            <w:tcW w:type="dxa" w:w="1134"/>
          </w:tcPr>
          <w:p>
            <w:r>
              <w:rPr>
                <w:sz w:val="19"/>
              </w:rPr>
              <w:t>0.9514</w:t>
            </w:r>
          </w:p>
        </w:tc>
      </w:tr>
      <w:tr>
        <w:tc>
          <w:tcPr>
            <w:tcW w:type="dxa" w:w="1701"/>
          </w:tcPr>
          <w:p>
            <w:r>
              <w:rPr>
                <w:sz w:val="19"/>
              </w:rPr>
              <w:t>DenseNet-121</w:t>
            </w:r>
          </w:p>
        </w:tc>
        <w:tc>
          <w:tcPr>
            <w:tcW w:type="dxa" w:w="1814"/>
          </w:tcPr>
          <w:p>
            <w:r>
              <w:rPr>
                <w:sz w:val="19"/>
              </w:rPr>
              <w:t>Mendeley → Trucha</w:t>
            </w:r>
          </w:p>
        </w:tc>
        <w:tc>
          <w:tcPr>
            <w:tcW w:type="dxa" w:w="1587"/>
          </w:tcPr>
          <w:p>
            <w:r>
              <w:rPr>
                <w:sz w:val="19"/>
              </w:rPr>
              <w:t>80.88</w:t>
            </w:r>
          </w:p>
        </w:tc>
        <w:tc>
          <w:tcPr>
            <w:tcW w:type="dxa" w:w="1247"/>
          </w:tcPr>
          <w:p>
            <w:r>
              <w:rPr>
                <w:sz w:val="19"/>
              </w:rPr>
              <w:t>80.80</w:t>
            </w:r>
          </w:p>
        </w:tc>
        <w:tc>
          <w:tcPr>
            <w:tcW w:type="dxa" w:w="1474"/>
          </w:tcPr>
          <w:p>
            <w:r>
              <w:rPr>
                <w:sz w:val="19"/>
              </w:rPr>
              <w:t>82.00</w:t>
            </w:r>
          </w:p>
        </w:tc>
        <w:tc>
          <w:tcPr>
            <w:tcW w:type="dxa" w:w="1134"/>
          </w:tcPr>
          <w:p>
            <w:r>
              <w:rPr>
                <w:sz w:val="19"/>
              </w:rPr>
              <w:t>0.8973</w:t>
            </w:r>
          </w:p>
        </w:tc>
      </w:tr>
      <w:tr>
        <w:tc>
          <w:tcPr>
            <w:tcW w:type="dxa" w:w="1701"/>
          </w:tcPr>
          <w:p>
            <w:r>
              <w:rPr>
                <w:sz w:val="19"/>
              </w:rPr>
              <w:t>DenseNet-121</w:t>
            </w:r>
          </w:p>
        </w:tc>
        <w:tc>
          <w:tcPr>
            <w:tcW w:type="dxa" w:w="1814"/>
          </w:tcPr>
          <w:p>
            <w:r>
              <w:rPr>
                <w:sz w:val="19"/>
              </w:rPr>
              <w:t>Mendeley → Rohu</w:t>
            </w:r>
          </w:p>
        </w:tc>
        <w:tc>
          <w:tcPr>
            <w:tcW w:type="dxa" w:w="1587"/>
          </w:tcPr>
          <w:p>
            <w:r>
              <w:rPr>
                <w:sz w:val="19"/>
              </w:rPr>
              <w:t>82.85</w:t>
            </w:r>
          </w:p>
        </w:tc>
        <w:tc>
          <w:tcPr>
            <w:tcW w:type="dxa" w:w="1247"/>
          </w:tcPr>
          <w:p>
            <w:r>
              <w:rPr>
                <w:sz w:val="19"/>
              </w:rPr>
              <w:t>83.01</w:t>
            </w:r>
          </w:p>
        </w:tc>
        <w:tc>
          <w:tcPr>
            <w:tcW w:type="dxa" w:w="1474"/>
          </w:tcPr>
          <w:p>
            <w:r>
              <w:rPr>
                <w:sz w:val="19"/>
              </w:rPr>
              <w:t>85.57</w:t>
            </w:r>
          </w:p>
        </w:tc>
        <w:tc>
          <w:tcPr>
            <w:tcW w:type="dxa" w:w="1134"/>
          </w:tcPr>
          <w:p>
            <w:r>
              <w:rPr>
                <w:sz w:val="19"/>
              </w:rPr>
              <w:t>0.9140</w:t>
            </w:r>
          </w:p>
        </w:tc>
      </w:tr>
    </w:tbl>
    <w:p>
      <w:r>
        <w:rPr>
          <w:sz w:val="18"/>
        </w:rPr>
        <w:t>Nota. Los valores pooled provienen de una corrida aparte con la misma configuración, por eso difieren levemente del F1 oficial. Fuente: repositorio Generalizacion_ViT_DenseNet (3_resultados/ y Documentacion_Tecnica_ViT_DenseNet.docx).</w:t>
      </w:r>
    </w:p>
    <w:p>
      <w:pPr>
        <w:jc w:val="both"/>
      </w:pPr>
      <w:r>
        <w:rPr>
          <w:b/>
        </w:rPr>
        <w:t xml:space="preserve">Resultado de la sección. </w:t>
      </w:r>
      <w:r>
        <w:t>desempeño de los modelos de referencia frente a dominios no vistos durante el entrenamiento base.</w:t>
      </w:r>
    </w:p>
    <w:p>
      <w:pPr>
        <w:pStyle w:val="Heading2"/>
      </w:pPr>
      <w:r>
        <w:t>3.8. Análisis del efecto de la variabilidad visual entre conjuntos de datos</w:t>
      </w:r>
    </w:p>
    <w:p>
      <w:pPr>
        <w:jc w:val="both"/>
      </w:pPr>
      <w:r>
        <w:t>El efecto del cambio de dominio se cuantifica comparando el F1 macro de cada modelo en Mendeley (intra-dataset) con su F1 macro en cada dominio objetivo (cross-dataset), mediante tres indicadores de robustez:</w:t>
      </w:r>
    </w:p>
    <w:p>
      <w:pPr>
        <w:pStyle w:val="ListBullet"/>
        <w:jc w:val="both"/>
      </w:pPr>
      <w:r>
        <w:rPr>
          <w:b/>
        </w:rPr>
        <w:t xml:space="preserve">Tasa de Retención del Desempeño: </w:t>
      </w:r>
      <w:r>
        <w:t>TRD = (F1_objetivo / F1_fuente) × 100. Porcentaje del desempeño de Mendeley que se conserva; 100% significa sin caída.</w:t>
      </w:r>
    </w:p>
    <w:p>
      <w:pPr>
        <w:pStyle w:val="ListBullet"/>
        <w:jc w:val="both"/>
      </w:pPr>
      <w:r>
        <w:rPr>
          <w:b/>
        </w:rPr>
        <w:t xml:space="preserve">Brecha de error: </w:t>
      </w:r>
      <w:r>
        <w:t>Gap = Error_objetivo − Error_fuente, con Error = 1 − F1/100. Cuánto aumenta el error al cambiar de dominio.</w:t>
      </w:r>
    </w:p>
    <w:p>
      <w:pPr>
        <w:pStyle w:val="ListBullet"/>
        <w:jc w:val="both"/>
      </w:pPr>
      <w:r>
        <w:rPr>
          <w:b/>
        </w:rPr>
        <w:t xml:space="preserve">Reducción de la Brecha de Error: </w:t>
      </w:r>
      <w:r>
        <w:t>RBE = (Gap_DenseNet − Gap_modelo) / Gap_DenseNet × 100. Cuánto reduce un modelo la brecha frente a DenseNet-121 (baseline CNN); RBE &gt; 0 indica mejor transferencia.</w:t>
      </w:r>
    </w:p>
    <w:p>
      <w:r>
        <w:rPr>
          <w:b/>
        </w:rPr>
        <w:t>Tabla 3.4</w:t>
      </w:r>
    </w:p>
    <w:p>
      <w:r>
        <w:rPr>
          <w:i/>
        </w:rPr>
        <w:t>Degradación y robustez de los modelos de referencia ante el cambio de dominio</w:t>
      </w:r>
    </w:p>
    <w:tbl>
      <w:tblPr>
        <w:tblStyle w:val="TableGrid"/>
        <w:tblW w:type="auto" w:w="0"/>
        <w:jc w:val="center"/>
        <w:tblLayout w:type="fixed"/>
        <w:tblLook w:firstColumn="1" w:firstRow="1" w:lastColumn="0" w:lastRow="0" w:noHBand="0" w:noVBand="1" w:val="04A0"/>
      </w:tblPr>
      <w:tblGrid>
        <w:gridCol w:w="1587"/>
        <w:gridCol w:w="1134"/>
        <w:gridCol w:w="1134"/>
        <w:gridCol w:w="1134"/>
        <w:gridCol w:w="1077"/>
        <w:gridCol w:w="964"/>
        <w:gridCol w:w="907"/>
        <w:gridCol w:w="907"/>
      </w:tblGrid>
      <w:tr>
        <w:tc>
          <w:tcPr>
            <w:tcW w:type="dxa" w:w="1587"/>
            <w:shd w:val="clear" w:color="auto" w:fill="D9E2F3"/>
          </w:tcPr>
          <w:p>
            <w:r>
              <w:rPr>
                <w:b/>
                <w:sz w:val="19"/>
              </w:rPr>
              <w:t>Modelo</w:t>
            </w:r>
          </w:p>
        </w:tc>
        <w:tc>
          <w:tcPr>
            <w:tcW w:type="dxa" w:w="1134"/>
            <w:shd w:val="clear" w:color="auto" w:fill="D9E2F3"/>
          </w:tcPr>
          <w:p>
            <w:r>
              <w:rPr>
                <w:b/>
                <w:sz w:val="19"/>
              </w:rPr>
              <w:t>Dominio objetivo</w:t>
            </w:r>
          </w:p>
        </w:tc>
        <w:tc>
          <w:tcPr>
            <w:tcW w:type="dxa" w:w="1134"/>
            <w:shd w:val="clear" w:color="auto" w:fill="D9E2F3"/>
          </w:tcPr>
          <w:p>
            <w:r>
              <w:rPr>
                <w:b/>
                <w:sz w:val="19"/>
              </w:rPr>
              <w:t>F1 Mendeley (%)</w:t>
            </w:r>
          </w:p>
        </w:tc>
        <w:tc>
          <w:tcPr>
            <w:tcW w:type="dxa" w:w="1134"/>
            <w:shd w:val="clear" w:color="auto" w:fill="D9E2F3"/>
          </w:tcPr>
          <w:p>
            <w:r>
              <w:rPr>
                <w:b/>
                <w:sz w:val="19"/>
              </w:rPr>
              <w:t>F1 objetivo (%)</w:t>
            </w:r>
          </w:p>
        </w:tc>
        <w:tc>
          <w:tcPr>
            <w:tcW w:type="dxa" w:w="1077"/>
            <w:shd w:val="clear" w:color="auto" w:fill="D9E2F3"/>
          </w:tcPr>
          <w:p>
            <w:r>
              <w:rPr>
                <w:b/>
                <w:sz w:val="19"/>
              </w:rPr>
              <w:t>Variación (pp)</w:t>
            </w:r>
          </w:p>
        </w:tc>
        <w:tc>
          <w:tcPr>
            <w:tcW w:type="dxa" w:w="964"/>
            <w:shd w:val="clear" w:color="auto" w:fill="D9E2F3"/>
          </w:tcPr>
          <w:p>
            <w:r>
              <w:rPr>
                <w:b/>
                <w:sz w:val="19"/>
              </w:rPr>
              <w:t>TRD (%)</w:t>
            </w:r>
          </w:p>
        </w:tc>
        <w:tc>
          <w:tcPr>
            <w:tcW w:type="dxa" w:w="907"/>
            <w:shd w:val="clear" w:color="auto" w:fill="D9E2F3"/>
          </w:tcPr>
          <w:p>
            <w:r>
              <w:rPr>
                <w:b/>
                <w:sz w:val="19"/>
              </w:rPr>
              <w:t>Gap</w:t>
            </w:r>
          </w:p>
        </w:tc>
        <w:tc>
          <w:tcPr>
            <w:tcW w:type="dxa" w:w="907"/>
            <w:shd w:val="clear" w:color="auto" w:fill="D9E2F3"/>
          </w:tcPr>
          <w:p>
            <w:r>
              <w:rPr>
                <w:b/>
                <w:sz w:val="19"/>
              </w:rPr>
              <w:t>RBE (%)</w:t>
            </w:r>
          </w:p>
        </w:tc>
      </w:tr>
      <w:tr>
        <w:tc>
          <w:tcPr>
            <w:tcW w:type="dxa" w:w="1587"/>
          </w:tcPr>
          <w:p>
            <w:r>
              <w:rPr>
                <w:sz w:val="19"/>
              </w:rPr>
              <w:t>ViT-Base/16</w:t>
            </w:r>
          </w:p>
        </w:tc>
        <w:tc>
          <w:tcPr>
            <w:tcW w:type="dxa" w:w="1134"/>
          </w:tcPr>
          <w:p>
            <w:r>
              <w:rPr>
                <w:sz w:val="19"/>
              </w:rPr>
              <w:t>Trucha</w:t>
            </w:r>
          </w:p>
        </w:tc>
        <w:tc>
          <w:tcPr>
            <w:tcW w:type="dxa" w:w="1134"/>
          </w:tcPr>
          <w:p>
            <w:r>
              <w:rPr>
                <w:sz w:val="19"/>
              </w:rPr>
              <w:t>96.96</w:t>
            </w:r>
          </w:p>
        </w:tc>
        <w:tc>
          <w:tcPr>
            <w:tcW w:type="dxa" w:w="1134"/>
          </w:tcPr>
          <w:p>
            <w:r>
              <w:rPr>
                <w:sz w:val="19"/>
              </w:rPr>
              <w:t>86.11</w:t>
            </w:r>
          </w:p>
        </w:tc>
        <w:tc>
          <w:tcPr>
            <w:tcW w:type="dxa" w:w="1077"/>
          </w:tcPr>
          <w:p>
            <w:r>
              <w:rPr>
                <w:sz w:val="19"/>
              </w:rPr>
              <w:t>-10.85</w:t>
            </w:r>
          </w:p>
        </w:tc>
        <w:tc>
          <w:tcPr>
            <w:tcW w:type="dxa" w:w="964"/>
          </w:tcPr>
          <w:p>
            <w:r>
              <w:rPr>
                <w:sz w:val="19"/>
              </w:rPr>
              <w:t>88.81</w:t>
            </w:r>
          </w:p>
        </w:tc>
        <w:tc>
          <w:tcPr>
            <w:tcW w:type="dxa" w:w="907"/>
          </w:tcPr>
          <w:p>
            <w:r>
              <w:rPr>
                <w:sz w:val="19"/>
              </w:rPr>
              <w:t>0.1085</w:t>
            </w:r>
          </w:p>
        </w:tc>
        <w:tc>
          <w:tcPr>
            <w:tcW w:type="dxa" w:w="907"/>
          </w:tcPr>
          <w:p>
            <w:r>
              <w:rPr>
                <w:sz w:val="19"/>
              </w:rPr>
              <w:t>26.59</w:t>
            </w:r>
          </w:p>
        </w:tc>
      </w:tr>
      <w:tr>
        <w:tc>
          <w:tcPr>
            <w:tcW w:type="dxa" w:w="1587"/>
          </w:tcPr>
          <w:p>
            <w:r>
              <w:rPr>
                <w:sz w:val="19"/>
              </w:rPr>
              <w:t>ViT-Base/16</w:t>
            </w:r>
          </w:p>
        </w:tc>
        <w:tc>
          <w:tcPr>
            <w:tcW w:type="dxa" w:w="1134"/>
          </w:tcPr>
          <w:p>
            <w:r>
              <w:rPr>
                <w:sz w:val="19"/>
              </w:rPr>
              <w:t>Rohu</w:t>
            </w:r>
          </w:p>
        </w:tc>
        <w:tc>
          <w:tcPr>
            <w:tcW w:type="dxa" w:w="1134"/>
          </w:tcPr>
          <w:p>
            <w:r>
              <w:rPr>
                <w:sz w:val="19"/>
              </w:rPr>
              <w:t>96.96</w:t>
            </w:r>
          </w:p>
        </w:tc>
        <w:tc>
          <w:tcPr>
            <w:tcW w:type="dxa" w:w="1134"/>
          </w:tcPr>
          <w:p>
            <w:r>
              <w:rPr>
                <w:sz w:val="19"/>
              </w:rPr>
              <w:t>88.17</w:t>
            </w:r>
          </w:p>
        </w:tc>
        <w:tc>
          <w:tcPr>
            <w:tcW w:type="dxa" w:w="1077"/>
          </w:tcPr>
          <w:p>
            <w:r>
              <w:rPr>
                <w:sz w:val="19"/>
              </w:rPr>
              <w:t>-8.79</w:t>
            </w:r>
          </w:p>
        </w:tc>
        <w:tc>
          <w:tcPr>
            <w:tcW w:type="dxa" w:w="964"/>
          </w:tcPr>
          <w:p>
            <w:r>
              <w:rPr>
                <w:sz w:val="19"/>
              </w:rPr>
              <w:t>90.93</w:t>
            </w:r>
          </w:p>
        </w:tc>
        <w:tc>
          <w:tcPr>
            <w:tcW w:type="dxa" w:w="907"/>
          </w:tcPr>
          <w:p>
            <w:r>
              <w:rPr>
                <w:sz w:val="19"/>
              </w:rPr>
              <w:t>0.0879</w:t>
            </w:r>
          </w:p>
        </w:tc>
        <w:tc>
          <w:tcPr>
            <w:tcW w:type="dxa" w:w="907"/>
          </w:tcPr>
          <w:p>
            <w:r>
              <w:rPr>
                <w:sz w:val="19"/>
              </w:rPr>
              <w:t>31.38</w:t>
            </w:r>
          </w:p>
        </w:tc>
      </w:tr>
      <w:tr>
        <w:tc>
          <w:tcPr>
            <w:tcW w:type="dxa" w:w="1587"/>
          </w:tcPr>
          <w:p>
            <w:r>
              <w:rPr>
                <w:sz w:val="19"/>
              </w:rPr>
              <w:t>DenseNet-121</w:t>
            </w:r>
          </w:p>
        </w:tc>
        <w:tc>
          <w:tcPr>
            <w:tcW w:type="dxa" w:w="1134"/>
          </w:tcPr>
          <w:p>
            <w:r>
              <w:rPr>
                <w:sz w:val="19"/>
              </w:rPr>
              <w:t>Trucha</w:t>
            </w:r>
          </w:p>
        </w:tc>
        <w:tc>
          <w:tcPr>
            <w:tcW w:type="dxa" w:w="1134"/>
          </w:tcPr>
          <w:p>
            <w:r>
              <w:rPr>
                <w:sz w:val="19"/>
              </w:rPr>
              <w:t>95.66</w:t>
            </w:r>
          </w:p>
        </w:tc>
        <w:tc>
          <w:tcPr>
            <w:tcW w:type="dxa" w:w="1134"/>
          </w:tcPr>
          <w:p>
            <w:r>
              <w:rPr>
                <w:sz w:val="19"/>
              </w:rPr>
              <w:t>80.88</w:t>
            </w:r>
          </w:p>
        </w:tc>
        <w:tc>
          <w:tcPr>
            <w:tcW w:type="dxa" w:w="1077"/>
          </w:tcPr>
          <w:p>
            <w:r>
              <w:rPr>
                <w:sz w:val="19"/>
              </w:rPr>
              <w:t>-14.78</w:t>
            </w:r>
          </w:p>
        </w:tc>
        <w:tc>
          <w:tcPr>
            <w:tcW w:type="dxa" w:w="964"/>
          </w:tcPr>
          <w:p>
            <w:r>
              <w:rPr>
                <w:sz w:val="19"/>
              </w:rPr>
              <w:t>84.55</w:t>
            </w:r>
          </w:p>
        </w:tc>
        <w:tc>
          <w:tcPr>
            <w:tcW w:type="dxa" w:w="907"/>
          </w:tcPr>
          <w:p>
            <w:r>
              <w:rPr>
                <w:sz w:val="19"/>
              </w:rPr>
              <w:t>0.1478</w:t>
            </w:r>
          </w:p>
        </w:tc>
        <w:tc>
          <w:tcPr>
            <w:tcW w:type="dxa" w:w="907"/>
          </w:tcPr>
          <w:p>
            <w:r>
              <w:rPr>
                <w:sz w:val="19"/>
              </w:rPr>
              <w:t>—</w:t>
            </w:r>
          </w:p>
        </w:tc>
      </w:tr>
      <w:tr>
        <w:tc>
          <w:tcPr>
            <w:tcW w:type="dxa" w:w="1587"/>
          </w:tcPr>
          <w:p>
            <w:r>
              <w:rPr>
                <w:sz w:val="19"/>
              </w:rPr>
              <w:t>DenseNet-121</w:t>
            </w:r>
          </w:p>
        </w:tc>
        <w:tc>
          <w:tcPr>
            <w:tcW w:type="dxa" w:w="1134"/>
          </w:tcPr>
          <w:p>
            <w:r>
              <w:rPr>
                <w:sz w:val="19"/>
              </w:rPr>
              <w:t>Rohu</w:t>
            </w:r>
          </w:p>
        </w:tc>
        <w:tc>
          <w:tcPr>
            <w:tcW w:type="dxa" w:w="1134"/>
          </w:tcPr>
          <w:p>
            <w:r>
              <w:rPr>
                <w:sz w:val="19"/>
              </w:rPr>
              <w:t>95.66</w:t>
            </w:r>
          </w:p>
        </w:tc>
        <w:tc>
          <w:tcPr>
            <w:tcW w:type="dxa" w:w="1134"/>
          </w:tcPr>
          <w:p>
            <w:r>
              <w:rPr>
                <w:sz w:val="19"/>
              </w:rPr>
              <w:t>82.85</w:t>
            </w:r>
          </w:p>
        </w:tc>
        <w:tc>
          <w:tcPr>
            <w:tcW w:type="dxa" w:w="1077"/>
          </w:tcPr>
          <w:p>
            <w:r>
              <w:rPr>
                <w:sz w:val="19"/>
              </w:rPr>
              <w:t>-12.81</w:t>
            </w:r>
          </w:p>
        </w:tc>
        <w:tc>
          <w:tcPr>
            <w:tcW w:type="dxa" w:w="964"/>
          </w:tcPr>
          <w:p>
            <w:r>
              <w:rPr>
                <w:sz w:val="19"/>
              </w:rPr>
              <w:t>86.61</w:t>
            </w:r>
          </w:p>
        </w:tc>
        <w:tc>
          <w:tcPr>
            <w:tcW w:type="dxa" w:w="907"/>
          </w:tcPr>
          <w:p>
            <w:r>
              <w:rPr>
                <w:sz w:val="19"/>
              </w:rPr>
              <w:t>0.1281</w:t>
            </w:r>
          </w:p>
        </w:tc>
        <w:tc>
          <w:tcPr>
            <w:tcW w:type="dxa" w:w="907"/>
          </w:tcPr>
          <w:p>
            <w:r>
              <w:rPr>
                <w:sz w:val="19"/>
              </w:rPr>
              <w:t>—</w:t>
            </w:r>
          </w:p>
        </w:tc>
      </w:tr>
    </w:tbl>
    <w:p>
      <w:r>
        <w:rPr>
          <w:sz w:val="18"/>
        </w:rPr>
        <w:t>Nota. RBE se calcula respecto a DenseNet-121, por lo que no aplica al propio baseline. Fuente: Indicadores_Robustez_TRD_Gap_RBE.docx (repositorio Generalizacion_ViT_DenseNet).</w:t>
      </w:r>
    </w:p>
    <w:p>
      <w:pPr>
        <w:jc w:val="both"/>
      </w:pPr>
      <w:r>
        <w:t>Ambos modelos pierden desempeño al cambiar de dominio. ViT-Base/16 cae de 96.96% a 86.11% en Trucha y a 88.17% en Rohu; DenseNet-121 cae de 95.66% a 80.88% y 82.85%. Como el procesamiento de la sección 3.2 iguala el encuadre y la resolución, esa pérdida se asocia a la variabilidad visual entre conjuntos (iluminación, cámara, fondo y especie).</w:t>
      </w:r>
    </w:p>
    <w:p>
      <w:pPr>
        <w:jc w:val="both"/>
      </w:pPr>
      <w:r>
        <w:t>ViT-Base/16 es más robusto que DenseNet-121 en los dos dominios: retiene más desempeño (TRD 88.81% frente a 84.55% en Trucha y 90.93% frente a 86.61% en Rohu), tiene una brecha de error menor y su RBE es positivo (26.59% en Trucha y 31.38% en Rohu). Para los dos modelos, la caída es mayor en Trucha que en Rohu.</w:t>
      </w:r>
    </w:p>
    <w:p>
      <w:pPr>
        <w:jc w:val="both"/>
      </w:pPr>
      <w:r>
        <w:t>El cambio de dominio incluye también una diferencia de especie (Mendeley reúne 8 especies de Indonesia; OneDrive es trucha de Perú y Kaggle es rohu de India). Por ello, la degradación medida combina variabilidad de adquisición y diferencias propias de cada especie.</w:t>
      </w:r>
    </w:p>
    <w:p>
      <w:pPr>
        <w:jc w:val="both"/>
      </w:pPr>
      <w:r>
        <w:rPr>
          <w:b/>
        </w:rPr>
        <w:t xml:space="preserve">Resultado de la sección. </w:t>
      </w:r>
      <w:r>
        <w:t>magnitud del efecto del cambio de dominio y robustez comparada de los modelos de referencia.</w:t>
      </w:r>
    </w:p>
    <w:p>
      <w:pPr>
        <w:pStyle w:val="Heading2"/>
      </w:pPr>
      <w:r>
        <w:t>3.9. Consolidación de la línea base experimental</w:t>
      </w:r>
    </w:p>
    <w:p>
      <w:pPr>
        <w:jc w:val="both"/>
      </w:pPr>
      <w:r>
        <w:t>La Tabla 3.5 reúne los resultados de ambas fases para los dos modelos de referencia. Constituye la línea base experimental frente a la cual se comparará el modelo propuesto en el Capítulo IV y se validará en el Capítulo V.</w:t>
      </w:r>
    </w:p>
    <w:p>
      <w:r>
        <w:rPr>
          <w:b/>
        </w:rPr>
        <w:t>Tabla 3.5</w:t>
      </w:r>
    </w:p>
    <w:p>
      <w:r>
        <w:rPr>
          <w:i/>
        </w:rPr>
        <w:t>Línea base experimental: resultados intra-dataset, cross-dataset y de retención</w:t>
      </w:r>
    </w:p>
    <w:tbl>
      <w:tblPr>
        <w:tblStyle w:val="TableGrid"/>
        <w:tblW w:type="auto" w:w="0"/>
        <w:jc w:val="center"/>
        <w:tblLayout w:type="fixed"/>
        <w:tblLook w:firstColumn="1" w:firstRow="1" w:lastColumn="0" w:lastRow="0" w:noHBand="0" w:noVBand="1" w:val="04A0"/>
      </w:tblPr>
      <w:tblGrid>
        <w:gridCol w:w="1701"/>
        <w:gridCol w:w="1304"/>
        <w:gridCol w:w="1134"/>
        <w:gridCol w:w="1247"/>
        <w:gridCol w:w="1247"/>
        <w:gridCol w:w="1247"/>
        <w:gridCol w:w="1191"/>
      </w:tblGrid>
      <w:tr>
        <w:tc>
          <w:tcPr>
            <w:tcW w:type="dxa" w:w="1701"/>
            <w:shd w:val="clear" w:color="auto" w:fill="D9E2F3"/>
          </w:tcPr>
          <w:p>
            <w:r>
              <w:rPr>
                <w:b/>
                <w:sz w:val="19"/>
              </w:rPr>
              <w:t>Modelo</w:t>
            </w:r>
          </w:p>
        </w:tc>
        <w:tc>
          <w:tcPr>
            <w:tcW w:type="dxa" w:w="1304"/>
            <w:shd w:val="clear" w:color="auto" w:fill="D9E2F3"/>
          </w:tcPr>
          <w:p>
            <w:r>
              <w:rPr>
                <w:b/>
                <w:sz w:val="19"/>
              </w:rPr>
              <w:t>F1 Mendeley (%)</w:t>
            </w:r>
          </w:p>
        </w:tc>
        <w:tc>
          <w:tcPr>
            <w:tcW w:type="dxa" w:w="1134"/>
            <w:shd w:val="clear" w:color="auto" w:fill="D9E2F3"/>
          </w:tcPr>
          <w:p>
            <w:r>
              <w:rPr>
                <w:b/>
                <w:sz w:val="19"/>
              </w:rPr>
              <w:t>AUC Mendeley</w:t>
            </w:r>
          </w:p>
        </w:tc>
        <w:tc>
          <w:tcPr>
            <w:tcW w:type="dxa" w:w="1247"/>
            <w:shd w:val="clear" w:color="auto" w:fill="D9E2F3"/>
          </w:tcPr>
          <w:p>
            <w:r>
              <w:rPr>
                <w:b/>
                <w:sz w:val="19"/>
              </w:rPr>
              <w:t>F1 Trucha (%)</w:t>
            </w:r>
          </w:p>
        </w:tc>
        <w:tc>
          <w:tcPr>
            <w:tcW w:type="dxa" w:w="1247"/>
            <w:shd w:val="clear" w:color="auto" w:fill="D9E2F3"/>
          </w:tcPr>
          <w:p>
            <w:r>
              <w:rPr>
                <w:b/>
                <w:sz w:val="19"/>
              </w:rPr>
              <w:t>F1 Rohu (%)</w:t>
            </w:r>
          </w:p>
        </w:tc>
        <w:tc>
          <w:tcPr>
            <w:tcW w:type="dxa" w:w="1247"/>
            <w:shd w:val="clear" w:color="auto" w:fill="D9E2F3"/>
          </w:tcPr>
          <w:p>
            <w:r>
              <w:rPr>
                <w:b/>
                <w:sz w:val="19"/>
              </w:rPr>
              <w:t>TRD Trucha (%)</w:t>
            </w:r>
          </w:p>
        </w:tc>
        <w:tc>
          <w:tcPr>
            <w:tcW w:type="dxa" w:w="1191"/>
            <w:shd w:val="clear" w:color="auto" w:fill="D9E2F3"/>
          </w:tcPr>
          <w:p>
            <w:r>
              <w:rPr>
                <w:b/>
                <w:sz w:val="19"/>
              </w:rPr>
              <w:t>TRD Rohu (%)</w:t>
            </w:r>
          </w:p>
        </w:tc>
      </w:tr>
      <w:tr>
        <w:tc>
          <w:tcPr>
            <w:tcW w:type="dxa" w:w="1701"/>
          </w:tcPr>
          <w:p>
            <w:r>
              <w:rPr>
                <w:sz w:val="19"/>
              </w:rPr>
              <w:t>ViT-Base/16</w:t>
            </w:r>
          </w:p>
        </w:tc>
        <w:tc>
          <w:tcPr>
            <w:tcW w:type="dxa" w:w="1304"/>
          </w:tcPr>
          <w:p>
            <w:r>
              <w:rPr>
                <w:sz w:val="19"/>
              </w:rPr>
              <w:t>96.96</w:t>
            </w:r>
          </w:p>
        </w:tc>
        <w:tc>
          <w:tcPr>
            <w:tcW w:type="dxa" w:w="1134"/>
          </w:tcPr>
          <w:p>
            <w:r>
              <w:rPr>
                <w:sz w:val="19"/>
              </w:rPr>
              <w:t>0.9900</w:t>
            </w:r>
          </w:p>
        </w:tc>
        <w:tc>
          <w:tcPr>
            <w:tcW w:type="dxa" w:w="1247"/>
          </w:tcPr>
          <w:p>
            <w:r>
              <w:rPr>
                <w:sz w:val="19"/>
              </w:rPr>
              <w:t>86.11</w:t>
            </w:r>
          </w:p>
        </w:tc>
        <w:tc>
          <w:tcPr>
            <w:tcW w:type="dxa" w:w="1247"/>
          </w:tcPr>
          <w:p>
            <w:r>
              <w:rPr>
                <w:sz w:val="19"/>
              </w:rPr>
              <w:t>88.17</w:t>
            </w:r>
          </w:p>
        </w:tc>
        <w:tc>
          <w:tcPr>
            <w:tcW w:type="dxa" w:w="1247"/>
          </w:tcPr>
          <w:p>
            <w:r>
              <w:rPr>
                <w:sz w:val="19"/>
              </w:rPr>
              <w:t>88.81</w:t>
            </w:r>
          </w:p>
        </w:tc>
        <w:tc>
          <w:tcPr>
            <w:tcW w:type="dxa" w:w="1191"/>
          </w:tcPr>
          <w:p>
            <w:r>
              <w:rPr>
                <w:sz w:val="19"/>
              </w:rPr>
              <w:t>90.93</w:t>
            </w:r>
          </w:p>
        </w:tc>
      </w:tr>
      <w:tr>
        <w:tc>
          <w:tcPr>
            <w:tcW w:type="dxa" w:w="1701"/>
          </w:tcPr>
          <w:p>
            <w:r>
              <w:rPr>
                <w:sz w:val="19"/>
              </w:rPr>
              <w:t>DenseNet-121</w:t>
            </w:r>
          </w:p>
        </w:tc>
        <w:tc>
          <w:tcPr>
            <w:tcW w:type="dxa" w:w="1304"/>
          </w:tcPr>
          <w:p>
            <w:r>
              <w:rPr>
                <w:sz w:val="19"/>
              </w:rPr>
              <w:t>95.66</w:t>
            </w:r>
          </w:p>
        </w:tc>
        <w:tc>
          <w:tcPr>
            <w:tcW w:type="dxa" w:w="1134"/>
          </w:tcPr>
          <w:p>
            <w:r>
              <w:rPr>
                <w:sz w:val="19"/>
              </w:rPr>
              <w:t>0.9906</w:t>
            </w:r>
          </w:p>
        </w:tc>
        <w:tc>
          <w:tcPr>
            <w:tcW w:type="dxa" w:w="1247"/>
          </w:tcPr>
          <w:p>
            <w:r>
              <w:rPr>
                <w:sz w:val="19"/>
              </w:rPr>
              <w:t>80.88</w:t>
            </w:r>
          </w:p>
        </w:tc>
        <w:tc>
          <w:tcPr>
            <w:tcW w:type="dxa" w:w="1247"/>
          </w:tcPr>
          <w:p>
            <w:r>
              <w:rPr>
                <w:sz w:val="19"/>
              </w:rPr>
              <w:t>82.85</w:t>
            </w:r>
          </w:p>
        </w:tc>
        <w:tc>
          <w:tcPr>
            <w:tcW w:type="dxa" w:w="1247"/>
          </w:tcPr>
          <w:p>
            <w:r>
              <w:rPr>
                <w:sz w:val="19"/>
              </w:rPr>
              <w:t>84.55</w:t>
            </w:r>
          </w:p>
        </w:tc>
        <w:tc>
          <w:tcPr>
            <w:tcW w:type="dxa" w:w="1191"/>
          </w:tcPr>
          <w:p>
            <w:r>
              <w:rPr>
                <w:sz w:val="19"/>
              </w:rPr>
              <w:t>86.61</w:t>
            </w:r>
          </w:p>
        </w:tc>
      </w:tr>
    </w:tbl>
    <w:p>
      <w:r>
        <w:rPr>
          <w:sz w:val="18"/>
        </w:rPr>
        <w:t>Fuente: Elaboración propia.</w:t>
      </w:r>
    </w:p>
    <w:p>
      <w:pPr>
        <w:pStyle w:val="ListBullet"/>
        <w:jc w:val="both"/>
      </w:pPr>
      <w:r>
        <w:rPr>
          <w:b/>
        </w:rPr>
        <w:t xml:space="preserve">Producto de la Fase 1: </w:t>
      </w:r>
      <w:r>
        <w:t>ViT-Base/16 y DenseNet-121 como modelos de referencia, con F1 macro de 96.96% y 95.66% en el dominio fuente.</w:t>
      </w:r>
    </w:p>
    <w:p>
      <w:pPr>
        <w:pStyle w:val="ListBullet"/>
        <w:jc w:val="both"/>
      </w:pPr>
      <w:r>
        <w:rPr>
          <w:b/>
        </w:rPr>
        <w:t xml:space="preserve">Producto de la Fase 2: </w:t>
      </w:r>
      <w:r>
        <w:t>diagnóstico del problema: los modelos pierden entre 8.79 y 14.78 puntos de F1 al cambiar de dominio, y ViT-Base/16 transfiere mejor que DenseNet-121.</w:t>
      </w:r>
    </w:p>
    <w:p>
      <w:pPr>
        <w:pStyle w:val="ListBullet"/>
        <w:jc w:val="both"/>
      </w:pPr>
      <w:r>
        <w:rPr>
          <w:b/>
        </w:rPr>
        <w:t xml:space="preserve">Uso posterior: </w:t>
      </w:r>
      <w:r>
        <w:t>el modelo propuesto deberá superar esta línea base, en especial en los escenarios cross-dataset.</w:t>
      </w:r>
    </w:p>
    <w:p>
      <w:pPr>
        <w:jc w:val="both"/>
      </w:pPr>
      <w:r>
        <w:rPr>
          <w:b/>
        </w:rPr>
        <w:t xml:space="preserve">Resultado de la sección. </w:t>
      </w:r>
      <w:r>
        <w:t>línea base experimental consolidada y diagnóstico del efecto de la variabilidad visual.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