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sz w:val="32"/>
          <w:szCs w:val="32"/>
        </w:rPr>
        <w:t xml:space="preserve">Sustento de Selección de Modelos</w:t>
      </w:r>
    </w:p>
    <w:p>
      <w:pPr>
        <w:spacing w:after="20"/>
      </w:pPr>
      <w:r>
        <w:rPr>
          <w:sz w:val="24"/>
          <w:szCs w:val="24"/>
        </w:rPr>
        <w:t xml:space="preserve">Por qué ViT-Base/16 y DenseNet-121</w:t>
      </w:r>
    </w:p>
    <w:p>
      <w:pPr>
        <w:spacing w:after="260"/>
      </w:pPr>
      <w:r>
        <w:rPr>
          <w:i/>
          <w:iCs/>
          <w:sz w:val="22"/>
          <w:szCs w:val="22"/>
        </w:rPr>
        <w:t xml:space="preserve">Sección 3.6 del Capítulo III (Selección de los modelos de referencia) — 1 modelo ViT + 1 modelo CNN — criterios, fórmulas y evidencia</w:t>
      </w:r>
    </w:p>
    <w:p>
      <w:pPr>
        <w:spacing w:after="100"/>
      </w:pPr>
      <w:r>
        <w:rPr>
          <w:i/>
          <w:iCs/>
          <w:color w:val="666666"/>
          <w:sz w:val="19"/>
          <w:szCs w:val="19"/>
        </w:rPr>
        <w:t xml:space="preserve">Documento de sustento para defensa de tesis. Cada número reportado incluye su fórmula y el archivo fuente del que proviene — ver Anexo de trazabilidad.</w:t>
      </w:r>
    </w:p>
    <w:p>
      <w:pPr>
        <w:pStyle w:val="Heading1"/>
        <w:spacing w:after="110" w:before="220"/>
      </w:pPr>
      <w:r>
        <w:t xml:space="preserve">3.6.1 Resumen ejecutivo de la decisión</w:t>
      </w:r>
    </w:p>
    <w:p>
      <w:pPr>
        <w:spacing w:after="100"/>
      </w:pPr>
      <w:r>
        <w:t xml:space="preserve">Se seleccionan 2 de los 10 modelos evaluados para continuar con las siguientes fases del proyecto: ViT-Base/16 y DenseNet-121.</w:t>
      </w:r>
    </w:p>
    <w:p>
      <w:pPr>
        <w:spacing w:after="100"/>
      </w:pPr>
      <w:r>
        <w:t xml:space="preserve">La selección combina 1 ViT + 1 CNN porque los criterios de la sección 3.6.4 muestran que: (a) ViT-Base/16 es el mejor modelo de los 10 en F1 y el más estable entre folds, y (b) DenseNet-121 es el 2º mejor en F1 y el AUC más alto de los 10 (superando al propio ViT-Base/16) pese a una fracción de los parámetros — relevante para escenarios con restricción de cómputo (ej. despliegue en dispositivo móvil o edge).</w:t>
      </w:r>
    </w:p>
    <w:p>
      <w:pPr>
        <w:pStyle w:val="Heading1"/>
        <w:spacing w:after="110" w:before="220"/>
      </w:pPr>
      <w:r>
        <w:t xml:space="preserve">3.6.2 Metodología de evaluación (resumen)</w:t>
      </w:r>
    </w:p>
    <w:p>
      <w:pPr>
        <w:spacing w:after="100"/>
      </w:pPr>
      <w:r>
        <w:t xml:space="preserve">Detalle completo, con cálculos por epoch y por fold de los 10 modelos, en Documentacion_Tecnica_10_Modelos.docx. Resumen: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8,000 imágenes balanceadas (4,000 fresco / 4,000 no_fresco), StratifiedKFold(5, seed=42).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Fine-tuning completo desde ImageNet, hasta 30 epochs, early stopping (paciencia=7).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Por fold: se guarda el checkpoint del mejor val_F1, se evalúa 1 vez contra el 20% de test de ese fold.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Resultado del modelo = pooled de las 8,000 predicciones de test de los 5 folds (no promedio de 5 métricas).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Métricas: Accuracy, Precisión/Recall/F1/Especificidad (macro), AUC (0-1, sobre probabilidades continuas).</w:t>
      </w:r>
    </w:p>
    <w:p>
      <w:pPr>
        <w:pStyle w:val="Heading2"/>
        <w:spacing w:after="80" w:before="160"/>
      </w:pPr>
      <w:r>
        <w:t xml:space="preserve">3.6.2.1 Los 3 grupos dentro de cada fold (para no confundirlos)</w:t>
      </w:r>
    </w:p>
    <w:p>
      <w:pPr>
        <w:spacing w:after="100"/>
      </w:pPr>
      <w:r>
        <w:t xml:space="preserve">En cada una de las 5 corridas, las 8,000 imágenes se reparten en 3 grupos que NUNCA se mezclan entre sí (Entrenamiento / Validación / Prueba).</w:t>
      </w:r>
    </w:p>
    <w:p>
      <w:pPr>
        <w:spacing w:after="100"/>
      </w:pPr>
      <w:r>
        <w:t xml:space="preserve">Estos 3 grupos rotan en cada una de las 5 corridas: en la corrida donde el Fold 1 es "prueba", los folds 2-3-4-5 se reparten entre entrenamiento y validación — y así sucesivamente. Ningún grupo se reutiliza entre corridas de forma que una misma imagen sea, a la vez, entrenamiento y prueba en la misma corrida.</w:t>
      </w:r>
    </w:p>
    <w:p>
      <w:pPr>
        <w:pStyle w:val="Heading1"/>
        <w:spacing w:after="110" w:before="220"/>
      </w:pPr>
      <w:r>
        <w:t xml:space="preserve">3.6.3 Comparación completa — los 10 modelos</w:t>
      </w:r>
    </w:p>
    <w:p>
      <w:pPr>
        <w:spacing w:after="100"/>
      </w:pPr>
      <w:r>
        <w:rPr>
          <w:i/>
          <w:iCs/>
        </w:rPr>
        <w:t xml:space="preserve">Filas en dorado: los 2 modelos elegidos.</w:t>
      </w:r>
    </w:p>
    <w:p>
      <w:pPr>
        <w:spacing w:after="20" w:before="80"/>
        <w:jc w:val="center"/>
      </w:pPr>
      <w:r>
        <w:drawing>
          <wp:inline distT="0" distB="0" distL="0" distR="0">
            <wp:extent cx="3619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555555"/>
          <w:sz w:val="18"/>
          <w:szCs w:val="18"/>
        </w:rPr>
        <w:t xml:space="preserve">Curvas ROC pooled de los 10 modelos — DenseNet-121 y ViT-Base/16 encabezan el grupo en AUC.</w:t>
      </w:r>
    </w:p>
    <w:p>
      <w:pPr>
        <w:spacing w:after="20" w:before="80"/>
        <w:jc w:val="center"/>
      </w:pPr>
      <w:r>
        <w:drawing>
          <wp:inline distT="0" distB="0" distL="0" distR="0">
            <wp:extent cx="3619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555555"/>
          <w:sz w:val="18"/>
          <w:szCs w:val="18"/>
        </w:rPr>
        <w:t xml:space="preserve">F1 macro por modelo con barras de error = desviación estándar del F1 entre los 5 folds (mide qué tan consistente es el modelo entre particiones).</w:t>
      </w:r>
    </w:p>
    <w:p>
      <w:pPr>
        <w:pStyle w:val="Heading1"/>
        <w:spacing w:after="110" w:before="220"/>
      </w:pPr>
      <w:r>
        <w:t xml:space="preserve">3.6.4 Criterios de selección</w:t>
      </w:r>
    </w:p>
    <w:p>
      <w:pPr>
        <w:pStyle w:val="Heading2"/>
        <w:spacing w:after="80" w:before="160"/>
      </w:pPr>
      <w:r>
        <w:t xml:space="preserve">3.6.4.1 Desempeño — F1 macro y Accuracy</w:t>
      </w:r>
    </w:p>
    <w:p>
      <w:pPr>
        <w:spacing w:after="100"/>
      </w:pPr>
      <w:r>
        <w:t xml:space="preserve">Criterio principal: F1 macro pooled (promedia Precisión y Recall de ambas clases por igual, penaliza si el modelo falla mucho en una sola clase). Los 2 modelos elegidos ocupan los 2 primeros lugares por F1 (ViT-Base/16 #1 con 96.96, DenseNet-121 #2 con 95.66); Swin-Base queda #3 (95.56) y DINOv2-Small #4 (95.44), ambos muy cerca mutuamente pero por debajo de los 2 elegidos.</w:t>
      </w:r>
    </w:p>
    <w:p>
      <w:pPr>
        <w:spacing w:after="100"/>
      </w:pPr>
      <w:r>
        <w:rPr>
          <w:b/>
          <w:bCs/>
        </w:rPr>
        <w:t xml:space="preserve">F1 macro (ViT-Base/16) = 96.96   |   F1 macro (DenseNet-121) = 95.66</w:t>
      </w:r>
    </w:p>
    <w:p>
      <w:pPr>
        <w:pStyle w:val="Heading2"/>
        <w:spacing w:after="80" w:before="160"/>
      </w:pPr>
      <w:r>
        <w:t xml:space="preserve">3.6.4.2 Discriminación — AUC</w:t>
      </w:r>
    </w:p>
    <w:p>
      <w:pPr>
        <w:spacing w:after="100"/>
      </w:pPr>
      <w:r>
        <w:t xml:space="preserve">El AUC mide qué tan bien el modelo ordena las probabilidades (no solo el corte de 50%). Los 2 modelos elegidos son los 2 AUC más altos de los 10: DenseNet-121 tiene el AUC más alto (0.9906), superando incluso a ViT-Base/16 (0.9900, 2º lugar) pese a tener 12 veces menos parámetros — evidencia de que su probabilidad de salida está muy bien calibrada para separar las 2 clases.</w:t>
      </w:r>
    </w:p>
    <w:p>
      <w:pPr>
        <w:spacing w:after="20" w:before="80"/>
        <w:jc w:val="center"/>
      </w:pPr>
      <w:r>
        <w:drawing>
          <wp:inline distT="0" distB="0" distL="0" distR="0">
            <wp:extent cx="3619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555555"/>
          <w:sz w:val="18"/>
          <w:szCs w:val="18"/>
        </w:rPr>
        <w:t xml:space="preserve">Precisión vs Recall (macro) — los 2 modelos elegidos se agrupan en la esquina superior derecha (ambos altos y balanceados).</w:t>
      </w:r>
    </w:p>
    <w:p>
      <w:pPr>
        <w:pStyle w:val="Heading2"/>
        <w:spacing w:after="80" w:before="160"/>
      </w:pPr>
      <w:r>
        <w:t xml:space="preserve">3.6.4.3 Estabilidad entre folds — desviación estándar del F1</w:t>
      </w:r>
    </w:p>
    <w:p>
      <w:pPr>
        <w:spacing w:after="100"/>
      </w:pPr>
      <w:r>
        <w:t xml:space="preserve">Un modelo con F1 alto pero muy variable entre folds es menos confiable que uno con F1 ligeramente menor pero consistente. ViT-Base/16 es el modelo MÁS estable de los 10 (desv.std=0.28, rango de F1 entre folds de solo 96.56 a 97.31). DenseNet-121 tiene estabilidad intermedia (0.79), comparable a la de los otros modelos de buen desempeño (Swin-Base=0.80, EfficientNet-B0=0.59, DINOv2-Small=0.74).</w:t>
      </w:r>
    </w:p>
    <w:p>
      <w:pPr>
        <w:pStyle w:val="Heading2"/>
        <w:spacing w:after="80" w:before="160"/>
      </w:pPr>
      <w:r>
        <w:t xml:space="preserve">3.6.4.4 Eficiencia — parámetros vs desempeño</w:t>
      </w:r>
    </w:p>
    <w:p>
      <w:pPr>
        <w:spacing w:after="20" w:before="80"/>
        <w:jc w:val="center"/>
      </w:pPr>
      <w:r>
        <w:drawing>
          <wp:inline distT="0" distB="0" distL="0" distR="0">
            <wp:extent cx="3619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555555"/>
          <w:sz w:val="18"/>
          <w:szCs w:val="18"/>
        </w:rPr>
        <w:t xml:space="preserve">Parámetros (M) vs F1 macro. DenseNet-121 logra F1=95.66 con solo 7M de parámetros, muy cerca del F1 de ViT-Base/16 (85.8M) — el punto de mayor eficiencia del grupo.</w:t>
      </w:r>
    </w:p>
    <w:p>
      <w:pPr>
        <w:spacing w:after="100"/>
      </w:pPr>
      <w:r>
        <w:t xml:space="preserve">Este criterio es el que justifica incluir un CNN en la selección: DenseNet-121 ofrece 98%+ del desempeño de ViT-Base/16 con ~8% de sus parámetros — relevante si el modelo final debe correr en un dispositivo con recursos limitados.</w:t>
      </w:r>
    </w:p>
    <w:p>
      <w:pPr>
        <w:pStyle w:val="Heading2"/>
        <w:spacing w:after="80" w:before="160"/>
      </w:pPr>
      <w:r>
        <w:t xml:space="preserve">3.6.4.5 Diversidad arquitectónica — por qué 1 ViT + 1 CNN</w:t>
      </w:r>
    </w:p>
    <w:p>
      <w:pPr>
        <w:spacing w:after="100"/>
      </w:pPr>
      <w:r>
        <w:t xml:space="preserve">La selección compara las dos familias de arquitectura evaluadas en el proyecto (Transformer vs. convolucional) usando en cada una el modelo de mejor desempeño: ViT-Base/16 (el mejor de los 10 en F1 y estabilidad) y DenseNet-121 (el mejor CNN, y el de mayor AUC de todos). No se agrega un segundo modelo de la misma familia (por ejemplo Swin-Base) porque no aporta una comparación de paradigma distinta a la que ya da el par ViT-CNN, y el proyecto prioriza mantener el número de modelos evaluados en profundidad lo más chico posible sin sacrificar la comparación entre familias.</w:t>
      </w:r>
    </w:p>
    <w:p>
      <w:pPr>
        <w:pStyle w:val="Heading1"/>
        <w:spacing w:after="110" w:before="220"/>
      </w:pPr>
      <w:r>
        <w:t xml:space="preserve">3.6.5 Matrices de confusión — los 10 modelos</w:t>
      </w:r>
    </w:p>
    <w:p>
      <w:pPr>
        <w:spacing w:after="20" w:before="80"/>
        <w:jc w:val="center"/>
      </w:pPr>
      <w:r>
        <w:drawing>
          <wp:inline distT="0" distB="0" distL="0" distR="0">
            <wp:extent cx="3619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555555"/>
          <w:sz w:val="18"/>
          <w:szCs w:val="18"/>
        </w:rPr>
        <w:t xml:space="preserve">Matrices de confusión pooled de los 10 modelos. Los 2 modelos elegidos muestran las diagonales (aciertos) más marcadas y el menor número de confusiones cruzadas entre fresco y no_fresco.</w:t>
      </w:r>
    </w:p>
    <w:p>
      <w:pPr>
        <w:pStyle w:val="Heading1"/>
        <w:spacing w:after="110" w:before="220"/>
      </w:pPr>
      <w:r>
        <w:t xml:space="preserve">3.6.6 Sustento detallado — los 2 modelos elegidos</w:t>
      </w:r>
    </w:p>
    <w:p>
      <w:pPr>
        <w:spacing w:after="100"/>
      </w:pPr>
      <w:r>
        <w:t xml:space="preserve">Para el detalle completo de entrenamiento por epoch y por fold de estos 2 modelos, ver secciones 4.1 y 4.2 de Documentacion_Tecnica_10_Modelos.docx. Aquí se presenta el sustento cuantitativo de la elección.</w:t>
      </w:r>
    </w:p>
    <w:p>
      <w:pPr>
        <w:pStyle w:val="Heading2"/>
        <w:spacing w:after="80" w:before="160"/>
      </w:pPr>
      <w:r>
        <w:t xml:space="preserve">3.6.6.1 ViT-Base/16 (ViT)</w:t>
      </w:r>
    </w:p>
    <w:p>
      <w:pPr>
        <w:spacing w:after="100"/>
      </w:pPr>
      <w:r>
        <w:rPr>
          <w:b/>
          <w:bCs/>
        </w:rPr>
        <w:t xml:space="preserve">F1 macro = 96.96   Accuracy = 96.96   AUC = 0.9900   Desv.std F1 entre folds = 0.28   Parámetros = 85.8M</w:t>
      </w:r>
    </w:p>
    <w:p>
      <w:pPr>
        <w:spacing w:after="100"/>
      </w:pPr>
      <w:r>
        <w:t xml:space="preserve">Matriz de confusión pooled (8,000 imágenes, cada una evaluada 1 vez):</w:t>
      </w:r>
    </w:p>
    <w:p>
      <w:pPr>
        <w:spacing w:after="100"/>
      </w:pPr>
      <w:r>
        <w:t xml:space="preserve">F1_fresco = 2×97.38×96.53/(97.38+96.53) = 96.95</w:t>
      </w:r>
    </w:p>
    <w:p>
      <w:pPr>
        <w:spacing w:after="100"/>
      </w:pPr>
      <w:r>
        <w:t xml:space="preserve">F1_no_fresco = 2×96.56×97.40/(96.56+97.40) = 96.98</w:t>
      </w:r>
    </w:p>
    <w:p>
      <w:pPr>
        <w:spacing w:after="100"/>
      </w:pPr>
      <w:r>
        <w:t xml:space="preserve">F1 macro = (96.95+96.98)/2 = 96.96</w:t>
      </w:r>
    </w:p>
    <w:p>
      <w:pPr>
        <w:spacing w:after="20" w:before="80"/>
        <w:jc w:val="center"/>
      </w:pPr>
      <w:r>
        <w:drawing>
          <wp:inline distT="0" distB="0" distL="0" distR="0">
            <wp:extent cx="2476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555555"/>
          <w:sz w:val="18"/>
          <w:szCs w:val="18"/>
        </w:rPr>
        <w:t xml:space="preserve">ViT-Base/16 — área bajo la curva ROC (AUC = 0.9900).</w:t>
      </w:r>
    </w:p>
    <w:p>
      <w:pPr>
        <w:pStyle w:val="Heading2"/>
        <w:spacing w:after="80" w:before="160"/>
      </w:pPr>
      <w:r>
        <w:t xml:space="preserve">3.6.6.2 DenseNet-121 (CNN)</w:t>
      </w:r>
    </w:p>
    <w:p>
      <w:pPr>
        <w:spacing w:after="100"/>
      </w:pPr>
      <w:r>
        <w:rPr>
          <w:b/>
          <w:bCs/>
        </w:rPr>
        <w:t xml:space="preserve">F1 macro = 95.66   Accuracy = 95.66   AUC = 0.9906   Desv.std F1 entre folds = 0.79   Parámetros = 7.0M</w:t>
      </w:r>
    </w:p>
    <w:p>
      <w:pPr>
        <w:spacing w:after="100"/>
      </w:pPr>
      <w:r>
        <w:t xml:space="preserve">Matriz de confusión pooled (8,000 imágenes, cada una evaluada 1 vez):</w:t>
      </w:r>
    </w:p>
    <w:p>
      <w:pPr>
        <w:spacing w:after="100"/>
      </w:pPr>
      <w:r>
        <w:t xml:space="preserve">F1_fresco = 2×96.46×94.80/(96.46+94.80) = 95.62</w:t>
      </w:r>
    </w:p>
    <w:p>
      <w:pPr>
        <w:spacing w:after="100"/>
      </w:pPr>
      <w:r>
        <w:t xml:space="preserve">F1_no_fresco = 2×94.89×96.53/(94.89+96.53) = 95.70</w:t>
      </w:r>
    </w:p>
    <w:p>
      <w:pPr>
        <w:spacing w:after="100"/>
      </w:pPr>
      <w:r>
        <w:t xml:space="preserve">F1 macro = (95.62+95.70)/2 = 95.66</w:t>
      </w:r>
    </w:p>
    <w:p>
      <w:pPr>
        <w:spacing w:after="20" w:before="80"/>
        <w:jc w:val="center"/>
      </w:pPr>
      <w:r>
        <w:drawing>
          <wp:inline distT="0" distB="0" distL="0" distR="0">
            <wp:extent cx="2476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555555"/>
          <w:sz w:val="18"/>
          <w:szCs w:val="18"/>
        </w:rPr>
        <w:t xml:space="preserve">DenseNet-121 — área bajo la curva ROC (AUC = 0.9906).</w:t>
      </w:r>
    </w:p>
    <w:p>
      <w:pPr>
        <w:pStyle w:val="Heading1"/>
        <w:spacing w:after="110" w:before="220"/>
      </w:pPr>
      <w:r>
        <w:t xml:space="preserve">3.6.7 Por qué no se eligieron los otros 8 modelos</w:t>
      </w:r>
    </w:p>
    <w:p>
      <w:pPr>
        <w:spacing w:after="100"/>
      </w:pPr>
      <w:r>
        <w:rPr>
          <w:b/>
          <w:bCs/>
        </w:rPr>
        <w:t xml:space="preserve">Swin-Base (F1=95.56, AUC=0.9889):</w:t>
      </w:r>
    </w:p>
    <w:p>
      <w:pPr>
        <w:spacing w:after="100"/>
      </w:pPr>
      <w:r>
        <w:t xml:space="preserve">3er lugar por F1 (95.56) y 3er AUC (0.9889), ambos por debajo de los 2 elegidos. Es la misma familia arquitectónica que ViT-Base/16 (Transformer) — agregarlo no suma una comparación de paradigma distinta a la que ya da el par ViT-CNN, y su F1/AUC no superan a ninguno de los 2 elegidos.</w:t>
      </w:r>
    </w:p>
    <w:p>
      <w:pPr>
        <w:spacing w:after="100"/>
      </w:pPr>
      <w:r>
        <w:rPr>
          <w:b/>
          <w:bCs/>
        </w:rPr>
        <w:t xml:space="preserve">DINOv2-Small (F1=95.44, AUC=0.9860):</w:t>
      </w:r>
    </w:p>
    <w:p>
      <w:pPr>
        <w:spacing w:after="100"/>
      </w:pPr>
      <w:r>
        <w:t xml:space="preserve">4to lugar por F1 (95.44), muy cerca de Swin-Base pero no lo supera; mismo paradigma ViT que ViT-Base/16, sin ventaja de desempeño sobre los 2 elegidos.</w:t>
      </w:r>
    </w:p>
    <w:p>
      <w:pPr>
        <w:spacing w:after="100"/>
      </w:pPr>
      <w:r>
        <w:rPr>
          <w:b/>
          <w:bCs/>
        </w:rPr>
        <w:t xml:space="preserve">EfficientNet-B0 (F1=94.27, AUC=0.9859):</w:t>
      </w:r>
    </w:p>
    <w:p>
      <w:pPr>
        <w:spacing w:after="100"/>
      </w:pPr>
      <w:r>
        <w:t xml:space="preserve">Buen AUC (0.9859) pero F1 (94.27) y estabilidad (0.59) inferiores a los 2 elegidos; queda por debajo de DenseNet-121 en el criterio principal de eficiencia (F1 vs parámetros).</w:t>
      </w:r>
    </w:p>
    <w:p>
      <w:pPr>
        <w:spacing w:after="100"/>
      </w:pPr>
      <w:r>
        <w:rPr>
          <w:b/>
          <w:bCs/>
        </w:rPr>
        <w:t xml:space="preserve">EfficientNet-Lite0 (F1=91.02, AUC=0.9700):</w:t>
      </w:r>
    </w:p>
    <w:p>
      <w:pPr>
        <w:spacing w:after="100"/>
      </w:pPr>
      <w:r>
        <w:t xml:space="preserve">Caída notable de desempeño (F1=91.02) y mayor variabilidad entre folds (desv.std=1.38) frente al grupo líder.</w:t>
      </w:r>
    </w:p>
    <w:p>
      <w:pPr>
        <w:spacing w:after="100"/>
      </w:pPr>
      <w:r>
        <w:rPr>
          <w:b/>
          <w:bCs/>
        </w:rPr>
        <w:t xml:space="preserve">MobileNetV3-Small (F1=90.66, AUC=0.9706):</w:t>
      </w:r>
    </w:p>
    <w:p>
      <w:pPr>
        <w:spacing w:after="100"/>
      </w:pPr>
      <w:r>
        <w:t xml:space="preserve">F1=90.66, el más liviano (1.5M parámetros) pero con la mayor caída de desempeño frente a los elegidos; alta variabilidad entre folds (desv.std=1.49).</w:t>
      </w:r>
    </w:p>
    <w:p>
      <w:pPr>
        <w:spacing w:after="100"/>
      </w:pPr>
      <w:r>
        <w:rPr>
          <w:b/>
          <w:bCs/>
        </w:rPr>
        <w:t xml:space="preserve">ResNet-50 (F1=89.06, AUC=0.9593):</w:t>
      </w:r>
    </w:p>
    <w:p>
      <w:pPr>
        <w:spacing w:after="100"/>
      </w:pPr>
      <w:r>
        <w:t xml:space="preserve">F1=89.06, de los más bajos del grupo pese a tener más parámetros (23.5M) que DenseNet-121 (7M) — peor relación desempeño/costo.</w:t>
      </w:r>
    </w:p>
    <w:p>
      <w:pPr>
        <w:spacing w:after="100"/>
      </w:pPr>
      <w:r>
        <w:rPr>
          <w:b/>
          <w:bCs/>
        </w:rPr>
        <w:t xml:space="preserve">MobileNetV2 (F1=89.01, AUC=0.9591):</w:t>
      </w:r>
    </w:p>
    <w:p>
      <w:pPr>
        <w:spacing w:after="100"/>
      </w:pPr>
      <w:r>
        <w:t xml:space="preserve">F1=89.01, entre los más bajos; su estabilidad entre folds es la mejor del grupo completo (0.17) pero no compensa el desempeño inferior.</w:t>
      </w:r>
    </w:p>
    <w:p>
      <w:pPr>
        <w:spacing w:after="100"/>
      </w:pPr>
      <w:r>
        <w:rPr>
          <w:b/>
          <w:bCs/>
        </w:rPr>
        <w:t xml:space="preserve">MobileNetV1 (F1=89.00, AUC=0.9556):</w:t>
      </w:r>
    </w:p>
    <w:p>
      <w:pPr>
        <w:spacing w:after="100"/>
      </w:pPr>
      <w:r>
        <w:t xml:space="preserve">F1 más bajo de los 10 modelos (89.00) y la mayor variabilidad entre folds (desv.std=1.63) — el modelo menos confiable del conjunto evaluado.</w:t>
      </w:r>
    </w:p>
    <w:p>
      <w:pPr>
        <w:pStyle w:val="Heading1"/>
        <w:spacing w:after="110" w:before="220"/>
      </w:pPr>
      <w:r>
        <w:t xml:space="preserve">3.6.8 Anexo — trazabilidad: de dónde sale cada número</w:t>
      </w:r>
    </w:p>
    <w:p>
      <w:pPr>
        <w:spacing w:after="100"/>
      </w:pPr>
      <w:r>
        <w:t xml:space="preserve">Guía de respuesta rápida para preguntas de sustentación sobre el origen de un dato específico.</w:t>
      </w:r>
    </w:p>
    <w:tbl>
      <w:tblPr>
        <w:tblW w:type="dxa" w:w="1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8200"/>
      </w:tblGrid>
      <w:tr>
        <w:trPr>
          <w:tblHeader/>
        </w:trPr>
        <w:tc>
          <w:tcPr>
            <w:tcW w:type="dxa" w:w="4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Qué</w:t>
            </w:r>
          </w:p>
        </w:tc>
        <w:tc>
          <w:tcPr>
            <w:tcW w:type="dxa" w:w="8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Dónde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F1/Accuracy/AUC pooled por modelo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3_resultados_test_por_modelo/metricas_pooled_por_modelo.csv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Matrices de confusión y curvas ROC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3_resultados_test_por_modelo/{modelo}/confusion_matrix_pooled.csv, roc_curve_pooled.csv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Desviación estándar del F1 entre folds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3_resultados_test_por_modelo/metricas_por_fold.csv (agrupado por modelo)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Código de entrenamiento y evaluación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1_codigo/run_freshness_v3.py, dnc_5fold_confmat_roc.py</w:t>
            </w:r>
          </w:p>
        </w:tc>
      </w:tr>
    </w:tbl>
    <w:p>
      <w:pPr>
        <w:pStyle w:val="Heading1"/>
        <w:spacing w:after="110" w:before="220"/>
      </w:pPr>
      <w:r>
        <w:t xml:space="preserve">3.6.9 Limitaciones metodológicas (declaradas)</w:t>
      </w:r>
    </w:p>
    <w:p>
      <w:pPr>
        <w:spacing w:after="100"/>
      </w:pPr>
      <w:r>
        <w:rPr>
          <w:b/>
          <w:bCs/>
        </w:rPr>
        <w:t xml:space="preserve">Split no agrupado por foto base:</w:t>
      </w:r>
    </w:p>
    <w:p>
      <w:pPr>
        <w:spacing w:after="100"/>
      </w:pPr>
      <w:r>
        <w:t xml:space="preserve">El StratifiedKFold reparte por imagen individual, no por foto base/sesión de captura. Es la misma metodología con la que se presentaron originalmente estos resultados (documentación), pero implica que fotos de la misma sesión pueden caer en train y test del mismo fold — un riesgo de fuga de información leve a mencionar como upper bound al sustentar.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da69ffe5aed175748974b9e4d9c75394f8091a5.png"/><Relationship Id="rId8" Type="http://schemas.openxmlformats.org/officeDocument/2006/relationships/image" Target="media/ae577cdec9e6218fe85274ecbb338cfde53897ba.png"/><Relationship Id="rId9" Type="http://schemas.openxmlformats.org/officeDocument/2006/relationships/image" Target="media/ebffb2a4bcea79bbcc1d5795698deb03f8285c53.png"/><Relationship Id="rId10" Type="http://schemas.openxmlformats.org/officeDocument/2006/relationships/image" Target="media/1bf4135ffd97866d5fd59d3d696bf64701cdcd89.png"/><Relationship Id="rId11" Type="http://schemas.openxmlformats.org/officeDocument/2006/relationships/image" Target="media/8824e4bb4d66d083540e8877ca7e5d225c5a9ccd.png"/><Relationship Id="rId12" Type="http://schemas.openxmlformats.org/officeDocument/2006/relationships/image" Target="media/ba7cf246f1d0bbb0d76feb1368a24731017ae004.png"/><Relationship Id="rId13" Type="http://schemas.openxmlformats.org/officeDocument/2006/relationships/image" Target="media/4a3040c6c99406e3ced5d6e0c1dfd5318fa20c77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2026-09-23T17:51:04.227Z</dcterms:created>
  <dcterms:modified xsi:type="dcterms:W3CDTF">2026-09-23T17:51:04.228Z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