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short</w:t>
      </w:r>
      <w:r>
        <w:t xml:space="preserve"> </w:t>
      </w:r>
      <w:r>
        <w:t xml:space="preserve">nanopore</w:t>
      </w:r>
      <w:r>
        <w:t xml:space="preserve"> </w:t>
      </w:r>
      <w:r>
        <w:t xml:space="preserve">reads</w:t>
      </w:r>
      <w:r>
        <w:t xml:space="preserve"> </w:t>
      </w:r>
      <w:r>
        <w:t xml:space="preserve">with</w:t>
      </w:r>
      <w:r>
        <w:t xml:space="preserve"> </w:t>
      </w:r>
      <w:r>
        <w:t xml:space="preserve">dada2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Suokas</w:t>
      </w:r>
    </w:p>
    <w:p>
      <w:pPr>
        <w:pStyle w:val="FirstParagraph"/>
      </w:pPr>
      <w:r>
        <w:t xml:space="preserve">This document utilises previously computed objects that are saved as rds files. Result objects are loaded from files. Original code can be executed by changing eval to TRUE.</w:t>
      </w:r>
    </w:p>
    <w:bookmarkStart w:id="20" w:name="preprocess-ion-torrent-adapter-reads"/>
    <w:p>
      <w:pPr>
        <w:pStyle w:val="Heading4"/>
      </w:pPr>
      <w:r>
        <w:t xml:space="preserve">Preprocess Ion Torrent adapter reads</w:t>
      </w:r>
    </w:p>
    <w:p>
      <w:pPr>
        <w:pStyle w:val="FirstParagraph"/>
      </w:pPr>
      <w:r>
        <w:rPr>
          <w:i/>
          <w:iCs/>
        </w:rPr>
        <w:t xml:space="preserve">Trim forward reads with Adapter A and trP1(rc) sequences</w:t>
      </w:r>
    </w:p>
    <w:p>
      <w:pPr>
        <w:pStyle w:val="BodyText"/>
      </w:pPr>
      <w:r>
        <w:t xml:space="preserve">cutadapt -g</w:t>
      </w:r>
      <w:r>
        <w:t xml:space="preserve"> </w:t>
      </w:r>
      <w:r>
        <w:t xml:space="preserve">“</w:t>
      </w:r>
      <w:r>
        <w:t xml:space="preserve">CCATCTCATCCCTGCGTGTCTCCGACTCAG;o=30…ATCACCGACTGCCCATAGAGAGG;o=23</w:t>
      </w:r>
      <w:r>
        <w:t xml:space="preserve">”</w:t>
      </w:r>
      <w:r>
        <w:t xml:space="preserve"> </w:t>
      </w:r>
      <w:r>
        <w:t xml:space="preserve">–trimmed-only -e 0.05 -o ev_forward.fastq.gz ev_reads_hq.fastq.gz </w:t>
      </w:r>
    </w:p>
    <w:p>
      <w:pPr>
        <w:pStyle w:val="BodyText"/>
      </w:pPr>
      <w:r>
        <w:rPr>
          <w:i/>
          <w:iCs/>
        </w:rPr>
        <w:t xml:space="preserve">Trim reverse reads with trP1 and Adapter A(rc) sequences</w:t>
      </w:r>
    </w:p>
    <w:p>
      <w:pPr>
        <w:pStyle w:val="BodyText"/>
      </w:pPr>
      <w:r>
        <w:t xml:space="preserve">cutadapt -g ”CCTCTCTATGGGCAGTCGGTGAT;o=23…CTGAGTCGGAGACACGCAGGGATGAGATGG;o=30” –trimmed-only -e 0.05 -o ev_reverse.fastq.gz ev_reads_hq.fastq.gz</w:t>
      </w:r>
    </w:p>
    <w:p>
      <w:pPr>
        <w:pStyle w:val="BodyText"/>
      </w:pPr>
      <w:r>
        <w:rPr>
          <w:i/>
          <w:iCs/>
        </w:rPr>
        <w:t xml:space="preserve">Reverse-complement reverse reads</w:t>
      </w:r>
    </w:p>
    <w:p>
      <w:pPr>
        <w:pStyle w:val="BodyText"/>
      </w:pPr>
      <w:r>
        <w:t xml:space="preserve">seqkit seq -rp -t DNA -o ev_rcomp.fasta.gz ev_reverce.fasta.gz</w:t>
      </w:r>
    </w:p>
    <w:p>
      <w:pPr>
        <w:pStyle w:val="BodyText"/>
      </w:pPr>
      <w:r>
        <w:rPr>
          <w:i/>
          <w:iCs/>
        </w:rPr>
        <w:t xml:space="preserve">Merge with forward reads</w:t>
      </w:r>
    </w:p>
    <w:p>
      <w:pPr>
        <w:pStyle w:val="BodyText"/>
      </w:pPr>
      <w:r>
        <w:t xml:space="preserve">cat ev_forward.fasta.gz ev_rcomp.fasta.gz &gt; raw_005.fasta.gz</w:t>
      </w:r>
    </w:p>
    <w:p>
      <w:pPr>
        <w:pStyle w:val="BodyText"/>
      </w:pPr>
      <w:r>
        <w:rPr>
          <w:i/>
          <w:iCs/>
        </w:rPr>
        <w:t xml:space="preserve">Import data to qiime</w:t>
      </w:r>
    </w:p>
    <w:p>
      <w:pPr>
        <w:pStyle w:val="BodyText"/>
      </w:pPr>
      <w:r>
        <w:t xml:space="preserve">qiime tools import –type MultiplexedSingleEndBarcodeInSequence –input-path raw_005.fasta.gz –output-path raw_005.qza </w:t>
      </w:r>
    </w:p>
    <w:p>
      <w:pPr>
        <w:pStyle w:val="BodyText"/>
      </w:pPr>
      <w:r>
        <w:rPr>
          <w:i/>
          <w:iCs/>
        </w:rPr>
        <w:t xml:space="preserve">Demultiplex</w:t>
      </w:r>
    </w:p>
    <w:p>
      <w:pPr>
        <w:pStyle w:val="BodyText"/>
      </w:pPr>
      <w:r>
        <w:t xml:space="preserve">qiime cutadapt demux-single –i-seqs raw_005.qza –m-barcodes-file jt_meta.tsv –m-barcodes-column Barcode_seq –output-dir demuxed –p-error-rate 0 –p-anchor-barcode</w:t>
      </w:r>
    </w:p>
    <w:p>
      <w:pPr>
        <w:pStyle w:val="BodyText"/>
      </w:pPr>
      <w:r>
        <w:rPr>
          <w:i/>
          <w:iCs/>
        </w:rPr>
        <w:t xml:space="preserve">Trim pcr primers (519F and 926R)</w:t>
      </w:r>
    </w:p>
    <w:p>
      <w:pPr>
        <w:pStyle w:val="BodyText"/>
      </w:pPr>
      <w:r>
        <w:t xml:space="preserve">qiime cutadapt trim-single –i-demultiplexed-sequences per_sample_sequences.qza –p-overlap 15 –p-discard-untrimmed –p-front ACAGCMGCCGCGGTAATWC –o-trimmed-sequences trim1.qza</w:t>
      </w:r>
    </w:p>
    <w:p>
      <w:pPr>
        <w:pStyle w:val="BodyText"/>
      </w:pPr>
      <w:r>
        <w:t xml:space="preserve">qiime cutadapt trim-single –i-demultiplexed-sequences trim1.qza –p-adapter AAACTCAAAKGAATTGACGG –o-trimmed-sequences trimmed-sequences.qza</w:t>
      </w:r>
    </w:p>
    <w:p>
      <w:pPr>
        <w:pStyle w:val="BodyText"/>
      </w:pPr>
      <w:r>
        <w:rPr>
          <w:i/>
          <w:iCs/>
        </w:rPr>
        <w:t xml:space="preserve">Decompress read files</w:t>
      </w:r>
    </w:p>
    <w:p>
      <w:pPr>
        <w:pStyle w:val="BodyText"/>
      </w:pPr>
      <w:r>
        <w:t xml:space="preserve">unzip trimmed-sequences.qza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Parameters allow one error in sequencing adapters, no errors in barcode sequence and 1 and 2 errors in pcr primers, respectively.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Some options in commands require double dash and are not displayed correctly in rendered documents.</w:t>
      </w:r>
    </w:p>
    <w:bookmarkEnd w:id="20"/>
    <w:bookmarkStart w:id="21" w:name="load-libraries"/>
    <w:p>
      <w:pPr>
        <w:pStyle w:val="Heading4"/>
      </w:pPr>
      <w:r>
        <w:t xml:space="preserve">Load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(dada2);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'1.45'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"Biostrings"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'2.70.2'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(DECIPHER);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"DECIPHER"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'2.30.0'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'1.46.0'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'1.10.0'</w:t>
      </w:r>
    </w:p>
    <w:p>
      <w:pPr>
        <w:pStyle w:val="FirstParagraph"/>
      </w:pPr>
    </w:p>
    <w:p>
      <w:r>
        <w:br w:type="page"/>
      </w:r>
    </w:p>
    <w:bookmarkEnd w:id="21"/>
    <w:bookmarkStart w:id="22" w:name="set-parameters"/>
    <w:p>
      <w:pPr>
        <w:pStyle w:val="Heading4"/>
      </w:pPr>
      <w:r>
        <w:t xml:space="preserve">Set parameters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Path variables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"data/reads/"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"~/feature_classifiers/SILVA_SSU_r138_2019.RData"</w:t>
      </w:r>
      <w:r>
        <w:br/>
      </w:r>
      <w:r>
        <w:rPr>
          <w:rStyle w:val="NormalTok"/>
        </w:rPr>
        <w:t xml:space="preserve">meta_file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"data/jt_meta.tsv"</w:t>
      </w:r>
      <w:r>
        <w:br/>
      </w:r>
      <w:r>
        <w:rPr>
          <w:rStyle w:val="NormalTok"/>
        </w:rPr>
        <w:t xml:space="preserve">exportloc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"results/"</w:t>
      </w:r>
      <w:r>
        <w:br/>
      </w:r>
      <w:r>
        <w:rPr>
          <w:rStyle w:val="CommentTok"/>
        </w:rPr>
        <w:t xml:space="preserve"># Variables: truncation length, phix (Illumina)</w:t>
      </w:r>
      <w:r>
        <w:br/>
      </w:r>
      <w:r>
        <w:rPr>
          <w:rStyle w:val="NormalTok"/>
        </w:rPr>
        <w:t xml:space="preserve">truncation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br/>
      </w:r>
      <w:r>
        <w:rPr>
          <w:rStyle w:val="CommentTok"/>
        </w:rPr>
        <w:t xml:space="preserve">#Creates results directory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(exportloc)</w:t>
      </w:r>
      <w:r>
        <w:br/>
      </w:r>
      <w:r>
        <w:rPr>
          <w:rStyle w:val="CommentTok"/>
        </w:rPr>
        <w:t xml:space="preserve">#metadata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(meta_file))</w:t>
      </w:r>
      <w:r>
        <w:br/>
      </w:r>
      <w:r>
        <w:rPr>
          <w:rStyle w:val="CommentTok"/>
        </w:rPr>
        <w:t xml:space="preserve">#set knitr cache path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2"/>
    <w:bookmarkStart w:id="26" w:name="import-reads"/>
    <w:p>
      <w:pPr>
        <w:pStyle w:val="Heading4"/>
      </w:pPr>
      <w:r>
        <w:t xml:space="preserve">Import reads</w:t>
      </w:r>
    </w:p>
    <w:p>
      <w:pPr>
        <w:pStyle w:val="FirstParagraph"/>
      </w:pPr>
      <w:r>
        <w:t xml:space="preserve">nr072 was removed from dataset (0 reads causing error in denoising step).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Forward fastq filenames have format: SAMPLENAME_R1_001.fastq</w:t>
      </w:r>
      <w:r>
        <w:br/>
      </w:r>
      <w:r>
        <w:rPr>
          <w:rStyle w:val="NormalTok"/>
        </w:rPr>
        <w:t xml:space="preserve">fnFs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"L001_R1_001.fastq.gz"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Extract sample names, assuming filenames have format: SAMPLENAME_XXX.fastq.gz</w:t>
      </w:r>
      <w:r>
        <w:br/>
      </w:r>
      <w:r>
        <w:rPr>
          <w:rStyle w:val="NormalTok"/>
        </w:rPr>
        <w:t xml:space="preserve">sample.names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(fnFs),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Checking read quality of first samples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Base quality plot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plotQualityProfile</w:t>
      </w:r>
      <w:r>
        <w:rPr>
          <w:rStyle w:val="NormalTok"/>
        </w:rPr>
        <w:t xml:space="preserve">(fnFs[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base quality plot from saved object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"rds/qplot.rds"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26"/>
    <w:bookmarkStart w:id="27" w:name="filter-and-trim-reads"/>
    <w:p>
      <w:pPr>
        <w:pStyle w:val="Heading4"/>
      </w:pPr>
      <w:r>
        <w:t xml:space="preserve">Filter and trim reads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 without phix control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filterAndTrim</w:t>
      </w:r>
      <w:r>
        <w:rPr>
          <w:rStyle w:val="NormalTok"/>
        </w:rPr>
        <w:t xml:space="preserve">(fnFs, filtFs, </w:t>
      </w:r>
      <w:r>
        <w:rPr>
          <w:rStyle w:val="AttributeTok"/>
        </w:rPr>
        <w:t xml:space="preserve">truncLen=</w:t>
      </w:r>
      <w:r>
        <w:rPr>
          <w:rStyle w:val="NormalTok"/>
        </w:rPr>
        <w:t xml:space="preserve">truncation,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truncQ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rm.phix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 without phix control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7"/>
    <w:bookmarkStart w:id="31" w:name="learn-and-plot-error-profile"/>
    <w:p>
      <w:pPr>
        <w:pStyle w:val="Heading4"/>
      </w:pPr>
      <w:r>
        <w:t xml:space="preserve">Learn and plot error profile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Forward read error rate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learnErrors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 error profile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Plotting error rate profile for forward reads</w:t>
      </w:r>
      <w:r>
        <w:br/>
      </w:r>
      <w:r>
        <w:rPr>
          <w:rStyle w:val="FunctionTok"/>
        </w:rPr>
        <w:t xml:space="preserve">plotErrors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nominalQ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da_pipeline_rds_version_files/figure-docx/plot_error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31"/>
    <w:bookmarkStart w:id="32" w:name="denoise-sequences"/>
    <w:p>
      <w:pPr>
        <w:pStyle w:val="Heading4"/>
      </w:pPr>
      <w:r>
        <w:t xml:space="preserve">Denoise sequences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dada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err =</w:t>
      </w:r>
      <w:r>
        <w:rPr>
          <w:rStyle w:val="NormalTok"/>
        </w:rPr>
        <w:t xml:space="preserve"> errF,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(dadaFs,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2"/>
    <w:bookmarkStart w:id="33" w:name="build-asv-table"/>
    <w:p>
      <w:pPr>
        <w:pStyle w:val="Heading4"/>
      </w:pPr>
      <w:r>
        <w:t xml:space="preserve">Build ASV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seqtab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makeSequenceTable</w:t>
      </w:r>
      <w:r>
        <w:rPr>
          <w:rStyle w:val="NormalTok"/>
        </w:rPr>
        <w:t xml:space="preserve">(dadaFs)</w:t>
      </w:r>
      <w:r>
        <w:br/>
      </w:r>
      <w:r>
        <w:rPr>
          <w:rStyle w:val="CommentTok"/>
        </w:rPr>
        <w:t xml:space="preserve"># Dimensions of ASV table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 131 8404</w:t>
      </w:r>
    </w:p>
    <w:p>
      <w:pPr>
        <w:pStyle w:val="FirstParagraph"/>
      </w:pPr>
    </w:p>
    <w:p>
      <w:pPr>
        <w:pStyle w:val="BodyText"/>
      </w:pPr>
      <w:r>
        <w:t xml:space="preserve">Remove chimeric variants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seqtab.nochim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removeBimeraDenovo</w:t>
      </w:r>
      <w:r>
        <w:rPr>
          <w:rStyle w:val="NormalTok"/>
        </w:rPr>
        <w:t xml:space="preserve">(seqtab,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"consensus"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(seqtab.nochim)</w:t>
      </w:r>
    </w:p>
    <w:p>
      <w:pPr>
        <w:pStyle w:val="SourceCode"/>
      </w:pPr>
      <w:r>
        <w:rPr>
          <w:rStyle w:val="VerbatimChar"/>
        </w:rPr>
        <w:t xml:space="preserve">[1]  131 7634</w:t>
      </w:r>
    </w:p>
    <w:p>
      <w:pPr>
        <w:pStyle w:val="FirstParagraph"/>
      </w:pPr>
    </w:p>
    <w:p>
      <w:pPr>
        <w:pStyle w:val="BodyText"/>
      </w:pPr>
      <w:r>
        <w:t xml:space="preserve">Amount of data remaining after chimera removal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(seqtab.nochim)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0.9959133</w:t>
      </w:r>
    </w:p>
    <w:p>
      <w:pPr>
        <w:pStyle w:val="FirstParagraph"/>
      </w:pPr>
    </w:p>
    <w:p>
      <w:r>
        <w:br w:type="page"/>
      </w:r>
    </w:p>
    <w:bookmarkEnd w:id="33"/>
    <w:bookmarkStart w:id="34" w:name="summary-table"/>
    <w:p>
      <w:pPr>
        <w:pStyle w:val="Heading4"/>
      </w:pPr>
      <w:r>
        <w:t xml:space="preserve">Summary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getN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getUniques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(out,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(dadaFs, getN),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#If processing a single sample, remove the sapply calls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"DenoisedF"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"Nonchimeric"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"N:o of variants"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(track,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"Summary 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DenoisedF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Nonchimeric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N:o of variants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p>
      <w:r>
        <w:br w:type="page"/>
      </w:r>
    </w:p>
    <w:bookmarkEnd w:id="34"/>
    <w:bookmarkStart w:id="35" w:name="assign-taxonomy"/>
    <w:p>
      <w:pPr>
        <w:pStyle w:val="Heading4"/>
      </w:pPr>
      <w:r>
        <w:t xml:space="preserve">Assign taxonomy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#Create a DNAStringSet from the ASV sequences</w:t>
      </w:r>
      <w:r>
        <w:br/>
      </w:r>
      <w:r>
        <w:rPr>
          <w:rStyle w:val="NormalTok"/>
        </w:rPr>
        <w:t xml:space="preserve">repseq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(seqtab.nochim))</w:t>
      </w:r>
      <w:r>
        <w:br/>
      </w:r>
      <w:r>
        <w:rPr>
          <w:rStyle w:val="CommentTok"/>
        </w:rPr>
        <w:t xml:space="preserve"># CHANGE TO THE PATH OF YOUR TRAINING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(training)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IdTaxa</w:t>
      </w:r>
      <w:r>
        <w:rPr>
          <w:rStyle w:val="NormalTok"/>
        </w:rPr>
        <w:t xml:space="preserve">(repseq, trainingSet, </w:t>
      </w:r>
      <w:r>
        <w:rPr>
          <w:rStyle w:val="AttributeTok"/>
        </w:rPr>
        <w:t xml:space="preserve">strand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processors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Convert the output to a matrix analogous to the output from assignTaxonomy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(ranks,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        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taxon[m]</w:t>
      </w:r>
      <w:r>
        <w:br/>
      </w:r>
      <w:r>
        <w:rPr>
          <w:rStyle w:val="NormalTok"/>
        </w:rPr>
        <w:t xml:space="preserve">        taxa[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"unclassified_"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taxa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ranks;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(taxid,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bookmarkEnd w:id="35"/>
    <w:bookmarkStart w:id="36" w:name="build-phyloseq-object"/>
    <w:p>
      <w:pPr>
        <w:pStyle w:val="Heading4"/>
      </w:pPr>
      <w:r>
        <w:t xml:space="preserve">Build phyloseq object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phyloseq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(seqtab.nochim, </w:t>
      </w:r>
      <w:r>
        <w:rPr>
          <w:rStyle w:val="AttributeTok"/>
        </w:rPr>
        <w:t xml:space="preserve">taxa_are_rows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(taxid))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(metadata)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[ 7634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[ 7634 taxa by 7 taxonomic ranks ]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#create sequences from rownames to refseq </w:t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(seqs)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merge_phyloseq</w:t>
      </w:r>
      <w:r>
        <w:rPr>
          <w:rStyle w:val="NormalTok"/>
        </w:rPr>
        <w:t xml:space="preserve">(pseq, seqs)</w:t>
      </w:r>
      <w:r>
        <w:br/>
      </w:r>
      <w:r>
        <w:rPr>
          <w:rStyle w:val="CommentTok"/>
        </w:rPr>
        <w:t xml:space="preserve">#new variant names</w:t>
      </w:r>
      <w:r>
        <w:br/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ntaxa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#capitalise taxonomic ranks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Remove non-bacterial variants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non-bacterial taxa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(Kingdom))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[ 7280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[ 7280 taxa by 7 taxonomic ranks ]</w:t>
      </w:r>
      <w:r>
        <w:br/>
      </w:r>
      <w:r>
        <w:rPr>
          <w:rStyle w:val="VerbatimChar"/>
        </w:rPr>
        <w:t xml:space="preserve">refseq()      DNAStringSet:      [ 7280 reference sequences ]</w:t>
      </w:r>
    </w:p>
    <w:p>
      <w:pPr>
        <w:pStyle w:val="FirstParagraph"/>
      </w:pPr>
    </w:p>
    <w:p>
      <w:r>
        <w:br w:type="page"/>
      </w:r>
    </w:p>
    <w:bookmarkEnd w:id="36"/>
    <w:bookmarkStart w:id="37" w:name="write-results-to-files"/>
    <w:p>
      <w:pPr>
        <w:pStyle w:val="Heading4"/>
      </w:pPr>
      <w:r>
        <w:t xml:space="preserve">Write results to files</w:t>
      </w:r>
    </w:p>
    <w:p>
      <w:pPr>
        <w:pStyle w:val="FirstParagraph"/>
      </w:pPr>
      <w:r>
        <w:t xml:space="preserve">Abundance table is transponed and written as tsv 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#sample names will be columns</w:t>
      </w:r>
      <w:r>
        <w:br/>
      </w:r>
      <w:r>
        <w:rPr>
          <w:rStyle w:val="NormalTok"/>
        </w:rPr>
        <w:t xml:space="preserve">ASV_counts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(pseq))</w:t>
      </w:r>
      <w:r>
        <w:br/>
      </w:r>
      <w:r>
        <w:rPr>
          <w:rStyle w:val="NormalTok"/>
        </w:rPr>
        <w:t xml:space="preserve">ASVdf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(ASV_names,ASV_counts))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(ASVdf,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"asvs.tsv"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Likewise taxonomy table is saved as tsv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#taxonomy ranks in columns</w:t>
      </w:r>
      <w:r>
        <w:br/>
      </w: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(taxonomy,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"taxonomy.tsv"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Variant sequences are saved into fasta file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refseq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writeXStringSet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"repseq.fasta"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Compatible metadata file as tsv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(sampleid,metafile)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(metadf,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"metadata.tsv"</w:t>
      </w:r>
      <w:r>
        <w:rPr>
          <w:rStyle w:val="NormalTok"/>
        </w:rPr>
        <w:t xml:space="preserve">))</w:t>
      </w:r>
    </w:p>
    <w:p>
      <w:pPr>
        <w:pStyle w:val="FirstParagraph"/>
      </w:pPr>
    </w:p>
    <w:bookmarkEnd w:id="37"/>
    <w:bookmarkStart w:id="38" w:name="observations"/>
    <w:p>
      <w:pPr>
        <w:pStyle w:val="Heading4"/>
      </w:pPr>
      <w:r>
        <w:t xml:space="preserve">Observations</w:t>
      </w:r>
    </w:p>
    <w:p>
      <w:pPr>
        <w:pStyle w:val="FirstParagraph"/>
      </w:pPr>
      <w:r>
        <w:t xml:space="preserve">Customised sup basecalling of nanopore sequences produce quality matching Illumina ja Ion Torrent</w:t>
      </w:r>
    </w:p>
    <w:p>
      <w:pPr>
        <w:pStyle w:val="BodyText"/>
      </w:pPr>
      <w:r>
        <w:t xml:space="preserve">Error profiles of short amplicon (truncated to 350 bp) follow expected frequency</w:t>
      </w:r>
    </w:p>
    <w:p>
      <w:pPr>
        <w:pStyle w:val="BodyText"/>
      </w:pPr>
      <w:r>
        <w:t xml:space="preserve">Proportion of unique reads is smaller when compared to long amplicons</w:t>
      </w:r>
    </w:p>
    <w:p>
      <w:pPr>
        <w:pStyle w:val="BodyText"/>
      </w:pPr>
      <w:r>
        <w:t xml:space="preserve">Thus, denoising seem to work normally on shorter read lengths in contrast to 1,5 kbp full-length 16S rRNA gene. This is expected as algorithm relies on error-free reads that are used to build variant clusters. In long reads, even 99,5 % accuracy is simply not enough. At 1400 bp 0,5 % mean error rate means 7 sequencing errors per read</w:t>
      </w:r>
    </w:p>
    <w:bookmarkEnd w:id="38"/>
    <w:bookmarkStart w:id="39" w:name="advantages-of-nanopore"/>
    <w:p>
      <w:pPr>
        <w:pStyle w:val="Heading4"/>
      </w:pPr>
      <w:r>
        <w:t xml:space="preserve">Advantages of nanopore</w:t>
      </w:r>
    </w:p>
    <w:p>
      <w:pPr>
        <w:pStyle w:val="FirstParagraph"/>
      </w:pPr>
      <w:r>
        <w:t xml:space="preserve">Read length is not limiting factor while designing amplicon targets</w:t>
      </w:r>
    </w:p>
    <w:p>
      <w:pPr>
        <w:pStyle w:val="BodyText"/>
      </w:pPr>
      <w:r>
        <w:t xml:space="preserve">Base quality doesn’t decrease as a function of read length</w:t>
      </w:r>
    </w:p>
    <w:p>
      <w:pPr>
        <w:pStyle w:val="BodyText"/>
      </w:pPr>
      <w:r>
        <w:t xml:space="preserve">Low diversity libraries are not problem in sequencing</w:t>
      </w:r>
    </w:p>
    <w:p>
      <w:pPr>
        <w:pStyle w:val="BodyText"/>
      </w:pPr>
      <w:r>
        <w:t xml:space="preserve">Libraries prepared for other platforms can be conveniently converted to nanopore</w:t>
      </w:r>
    </w:p>
    <w:p>
      <w:pPr>
        <w:pStyle w:val="BodyText"/>
      </w:pPr>
      <w:r>
        <w:t xml:space="preserve">Live basecalling allows controlling sequencing throughput and in some cases flow-cell can be reused</w:t>
      </w:r>
    </w:p>
    <w:p>
      <w:pPr>
        <w:pStyle w:val="BodyText"/>
      </w:pPr>
      <w:r>
        <w:t xml:space="preserve">Cost per bp in amplicon sequencing is great compared to MiSeq</w:t>
      </w:r>
    </w:p>
    <w:bookmarkEnd w:id="39"/>
    <w:bookmarkStart w:id="40" w:name="disadvantages-of-nanopore"/>
    <w:p>
      <w:pPr>
        <w:pStyle w:val="Heading4"/>
      </w:pPr>
      <w:r>
        <w:t xml:space="preserve">Disadvantages of nanopore</w:t>
      </w:r>
    </w:p>
    <w:p>
      <w:pPr>
        <w:pStyle w:val="FirstParagraph"/>
      </w:pPr>
      <w:r>
        <w:t xml:space="preserve">Homopolymer region accuracy is not quite as good as in Illumina</w:t>
      </w:r>
    </w:p>
    <w:p>
      <w:pPr>
        <w:pStyle w:val="BodyText"/>
      </w:pPr>
      <w:r>
        <w:t xml:space="preserve">High accuracy basecalling is computationally intensive</w:t>
      </w:r>
    </w:p>
    <w:p>
      <w:pPr>
        <w:pStyle w:val="BodyText"/>
      </w:pPr>
      <w:r>
        <w:t xml:space="preserve">Software tools are not quite at the same level as in other platforms and require more knowledge</w:t>
      </w:r>
    </w:p>
    <w:p>
      <w:pPr>
        <w:pStyle w:val="BodyText"/>
      </w:pPr>
      <w:r>
        <w:t xml:space="preserve">Consistency of flow-cells (number of functional pores) and repeatibility of sequencing is so far unclear</w:t>
      </w:r>
    </w:p>
    <w:p>
      <w:pPr>
        <w:pStyle w:val="BodyText"/>
      </w:pPr>
      <w:r>
        <w:t xml:space="preserve">Pores might die if library preparation contains contaminants originating from sample (concerns mainly genomic or transcriptomic sequencing)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short nanopore reads with dada2</dc:title>
  <dc:creator>Marko Suokas</dc:creator>
  <cp:keywords/>
  <dcterms:created xsi:type="dcterms:W3CDTF">2024-08-04T08:35:19Z</dcterms:created>
  <dcterms:modified xsi:type="dcterms:W3CDTF">2024-08-04T08:35:19Z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Aptos</vt:lpwstr>
  </property>
  <property fmtid="{D5CDD505-2E9C-101B-9397-08002B2CF9AE}" pid="12" name="monofont">
    <vt:lpwstr>PT Mono</vt:lpwstr>
  </property>
  <property fmtid="{D5CDD505-2E9C-101B-9397-08002B2CF9AE}" pid="13" name="toc-title">
    <vt:lpwstr>Table of contents</vt:lpwstr>
  </property>
</Properties>
</file>