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DCB" w:rsidRDefault="00504DCB" w:rsidP="00504DCB">
      <w:pPr>
        <w:jc w:val="center"/>
        <w:rPr>
          <w:sz w:val="48"/>
          <w:szCs w:val="48"/>
        </w:rPr>
      </w:pPr>
      <w:bookmarkStart w:id="0" w:name="_GoBack"/>
      <w:bookmarkEnd w:id="0"/>
    </w:p>
    <w:p w:rsidR="00504DCB" w:rsidRDefault="00504DCB" w:rsidP="00504DCB">
      <w:pPr>
        <w:jc w:val="center"/>
        <w:rPr>
          <w:sz w:val="48"/>
          <w:szCs w:val="48"/>
        </w:rPr>
      </w:pPr>
    </w:p>
    <w:p w:rsidR="00504DCB" w:rsidRDefault="00504DCB" w:rsidP="00504DCB">
      <w:pPr>
        <w:jc w:val="center"/>
        <w:rPr>
          <w:sz w:val="48"/>
          <w:szCs w:val="48"/>
        </w:rPr>
      </w:pPr>
    </w:p>
    <w:p w:rsidR="00504DCB" w:rsidRDefault="00504DCB" w:rsidP="00504DCB">
      <w:pPr>
        <w:jc w:val="center"/>
        <w:rPr>
          <w:sz w:val="48"/>
          <w:szCs w:val="48"/>
        </w:rPr>
      </w:pPr>
    </w:p>
    <w:p w:rsidR="00504DCB" w:rsidRDefault="00504DCB" w:rsidP="00504DCB">
      <w:pPr>
        <w:jc w:val="center"/>
        <w:rPr>
          <w:sz w:val="48"/>
          <w:szCs w:val="48"/>
        </w:rPr>
      </w:pPr>
    </w:p>
    <w:p w:rsidR="00504DCB" w:rsidRDefault="00504DCB" w:rsidP="00504DCB">
      <w:pPr>
        <w:jc w:val="center"/>
        <w:rPr>
          <w:sz w:val="48"/>
          <w:szCs w:val="48"/>
        </w:rPr>
      </w:pPr>
    </w:p>
    <w:p w:rsidR="00931926" w:rsidRDefault="00504DCB" w:rsidP="00504DCB">
      <w:pPr>
        <w:jc w:val="center"/>
        <w:rPr>
          <w:sz w:val="48"/>
          <w:szCs w:val="48"/>
        </w:rPr>
      </w:pPr>
      <w:r>
        <w:rPr>
          <w:sz w:val="48"/>
          <w:szCs w:val="48"/>
        </w:rPr>
        <w:t xml:space="preserve">DAT 520 - </w:t>
      </w:r>
      <w:r w:rsidRPr="00504DCB">
        <w:rPr>
          <w:sz w:val="48"/>
          <w:szCs w:val="48"/>
        </w:rPr>
        <w:t>FINAL PROJECT</w:t>
      </w:r>
    </w:p>
    <w:p w:rsidR="00504DCB" w:rsidRDefault="00504DCB" w:rsidP="00504DCB">
      <w:pPr>
        <w:jc w:val="center"/>
        <w:rPr>
          <w:sz w:val="48"/>
          <w:szCs w:val="48"/>
        </w:rPr>
      </w:pPr>
    </w:p>
    <w:p w:rsidR="00504DCB" w:rsidRPr="00D61B83" w:rsidRDefault="00504DCB" w:rsidP="00504DCB"/>
    <w:p w:rsidR="00684AE6" w:rsidRPr="00A16DA6" w:rsidRDefault="00684AE6" w:rsidP="00504DCB">
      <w:pPr>
        <w:pageBreakBefore/>
        <w:numPr>
          <w:ilvl w:val="0"/>
          <w:numId w:val="4"/>
        </w:numPr>
        <w:spacing w:line="480" w:lineRule="auto"/>
        <w:ind w:left="360" w:hanging="360"/>
        <w:outlineLvl w:val="0"/>
        <w:rPr>
          <w:b/>
        </w:rPr>
      </w:pPr>
      <w:r>
        <w:rPr>
          <w:b/>
        </w:rPr>
        <w:lastRenderedPageBreak/>
        <w:t>Introduction</w:t>
      </w:r>
    </w:p>
    <w:p w:rsidR="005364B6" w:rsidRDefault="005364B6" w:rsidP="00B777E3">
      <w:pPr>
        <w:spacing w:line="480" w:lineRule="auto"/>
        <w:ind w:firstLine="360"/>
      </w:pPr>
      <w:r w:rsidRPr="005364B6">
        <w:t xml:space="preserve">The Affordable Care Act </w:t>
      </w:r>
      <w:r w:rsidR="0064687F">
        <w:t xml:space="preserve">(ACA) </w:t>
      </w:r>
      <w:r w:rsidRPr="005364B6">
        <w:t xml:space="preserve">is a </w:t>
      </w:r>
      <w:r>
        <w:t xml:space="preserve">healthcare reform </w:t>
      </w:r>
      <w:r w:rsidRPr="005364B6">
        <w:t>l</w:t>
      </w:r>
      <w:r w:rsidR="0064687F">
        <w:t>aw</w:t>
      </w:r>
      <w:r w:rsidRPr="005364B6">
        <w:t xml:space="preserve"> </w:t>
      </w:r>
      <w:r>
        <w:t xml:space="preserve">and among its many goals are </w:t>
      </w:r>
      <w:r w:rsidRPr="005364B6">
        <w:t>to provid</w:t>
      </w:r>
      <w:r>
        <w:t>e</w:t>
      </w:r>
      <w:r w:rsidRPr="005364B6">
        <w:t xml:space="preserve"> </w:t>
      </w:r>
      <w:r>
        <w:t xml:space="preserve">people with </w:t>
      </w:r>
      <w:r w:rsidRPr="005364B6">
        <w:t>quality</w:t>
      </w:r>
      <w:r>
        <w:t xml:space="preserve"> affordable</w:t>
      </w:r>
      <w:r w:rsidRPr="005364B6">
        <w:t xml:space="preserve"> health</w:t>
      </w:r>
      <w:r>
        <w:t xml:space="preserve"> care while controlling</w:t>
      </w:r>
      <w:r w:rsidRPr="005364B6">
        <w:t xml:space="preserve"> healthcare spending in the U.S.</w:t>
      </w:r>
      <w:r w:rsidR="00002E64">
        <w:t xml:space="preserve"> It established the Readmissions Reduction Program</w:t>
      </w:r>
      <w:r w:rsidR="00596A11">
        <w:t xml:space="preserve"> (RRP)</w:t>
      </w:r>
      <w:r w:rsidR="00002E64">
        <w:t xml:space="preserve"> requiring the Center for </w:t>
      </w:r>
      <w:r w:rsidR="005A50AD">
        <w:t>M</w:t>
      </w:r>
      <w:r w:rsidR="00002E64">
        <w:t xml:space="preserve">edicare and Medicaid Services (CMS) to reduce payments to hospitals with excess </w:t>
      </w:r>
      <w:r w:rsidR="005A50AD">
        <w:t>r</w:t>
      </w:r>
      <w:r w:rsidR="00002E64">
        <w:t xml:space="preserve">eadmissions. (CMS.gov). </w:t>
      </w:r>
      <w:r w:rsidR="00FD7AA6">
        <w:t xml:space="preserve">Avoidable readmissions are one of the problems affecting the healthcare system and costs Medicare $15 billion per year (Brown, B.). </w:t>
      </w:r>
      <w:r w:rsidR="00B12D80">
        <w:t>T</w:t>
      </w:r>
      <w:r w:rsidR="007B1ED0">
        <w:t>he program requires hospitals to publicly report their 30-day readmission rates for certain disease conditions and will penalize hospitals with high rates of readmission.</w:t>
      </w:r>
      <w:r w:rsidR="00F13CE8">
        <w:t xml:space="preserve"> </w:t>
      </w:r>
      <w:r w:rsidR="00FD7AA6">
        <w:t xml:space="preserve">A </w:t>
      </w:r>
      <w:r w:rsidR="00904A8E">
        <w:t>chartbook</w:t>
      </w:r>
      <w:r w:rsidR="00FD7AA6">
        <w:t xml:space="preserve"> </w:t>
      </w:r>
      <w:r w:rsidR="00904A8E">
        <w:t>prepared by</w:t>
      </w:r>
      <w:r w:rsidR="00B12D80">
        <w:t xml:space="preserve"> the CMS</w:t>
      </w:r>
      <w:r w:rsidR="00904A8E">
        <w:t xml:space="preserve"> look</w:t>
      </w:r>
      <w:r w:rsidR="00E9273D">
        <w:t>ed</w:t>
      </w:r>
      <w:r w:rsidR="00904A8E">
        <w:t xml:space="preserve"> at the p</w:t>
      </w:r>
      <w:r>
        <w:t>revalence of chronic conditions among</w:t>
      </w:r>
      <w:r w:rsidR="00904A8E">
        <w:t xml:space="preserve"> </w:t>
      </w:r>
      <w:r>
        <w:t>Medicare beneficiaries and the impact of chronic</w:t>
      </w:r>
      <w:r w:rsidR="00904A8E">
        <w:t xml:space="preserve"> </w:t>
      </w:r>
      <w:r>
        <w:t>conditions on Medicare service utilization and</w:t>
      </w:r>
      <w:r w:rsidR="00904A8E">
        <w:t xml:space="preserve"> </w:t>
      </w:r>
      <w:r>
        <w:t>spending</w:t>
      </w:r>
      <w:r w:rsidR="00904A8E">
        <w:t xml:space="preserve">. </w:t>
      </w:r>
      <w:r w:rsidR="00FD7AA6">
        <w:t xml:space="preserve">It noted that these patient population are the heaviest users of health care services and accounted for 55% of total </w:t>
      </w:r>
      <w:r w:rsidR="004F4545">
        <w:t>M</w:t>
      </w:r>
      <w:r w:rsidR="00FD7AA6">
        <w:t>edicare spending on hospitalizations (CMS, 2012).</w:t>
      </w:r>
      <w:r w:rsidR="009A654C">
        <w:t xml:space="preserve"> Chronic conditions are long-lasting, </w:t>
      </w:r>
      <w:r w:rsidR="0030174F">
        <w:t>slow progressing, ong</w:t>
      </w:r>
      <w:r w:rsidR="009A654C">
        <w:t xml:space="preserve">oing diseases that can be controlled but not cured. </w:t>
      </w:r>
      <w:r w:rsidR="0030174F">
        <w:t>T</w:t>
      </w:r>
      <w:r w:rsidR="009A654C" w:rsidRPr="009A654C">
        <w:t>he four main types are cardiovascular diseases (like heart attacks and stroke), cancers, chronic respiratory diseases (such as chronic obstructed pulmonary disease and asthma) and diabetes</w:t>
      </w:r>
      <w:r w:rsidR="007D610F">
        <w:t xml:space="preserve"> (WHO, 2014).</w:t>
      </w:r>
    </w:p>
    <w:p w:rsidR="000A6F01" w:rsidRDefault="00C82900" w:rsidP="00B777E3">
      <w:pPr>
        <w:spacing w:line="480" w:lineRule="auto"/>
        <w:ind w:firstLine="360"/>
      </w:pPr>
      <w:r>
        <w:t xml:space="preserve">Both the government and health care providers </w:t>
      </w:r>
      <w:r w:rsidR="004A4DE5">
        <w:t>aim to work together</w:t>
      </w:r>
      <w:r>
        <w:t xml:space="preserve"> to provide high value care with lower cost. </w:t>
      </w:r>
      <w:r w:rsidR="004A4DE5">
        <w:t>H</w:t>
      </w:r>
      <w:r w:rsidR="00E831E8">
        <w:t>owever, o</w:t>
      </w:r>
      <w:r>
        <w:t xml:space="preserve">n one side, </w:t>
      </w:r>
      <w:r w:rsidR="001D59F8">
        <w:t xml:space="preserve">health care providers want to be fully reimbursed for health service provision, but </w:t>
      </w:r>
      <w:r>
        <w:t xml:space="preserve">on the other side, </w:t>
      </w:r>
      <w:r w:rsidR="001D59F8">
        <w:t>Medicare wants to reduce health care spending.</w:t>
      </w:r>
      <w:r>
        <w:t xml:space="preserve"> </w:t>
      </w:r>
      <w:r w:rsidR="001D59F8">
        <w:t>W</w:t>
      </w:r>
      <w:r w:rsidR="00DC6C2E">
        <w:t xml:space="preserve">ith </w:t>
      </w:r>
      <w:r w:rsidR="00021C1F">
        <w:t>the fee</w:t>
      </w:r>
      <w:r w:rsidR="00DC6C2E">
        <w:t>-</w:t>
      </w:r>
      <w:r w:rsidR="00021C1F">
        <w:t>for</w:t>
      </w:r>
      <w:r w:rsidR="00DC6C2E">
        <w:t>-</w:t>
      </w:r>
      <w:r w:rsidR="00021C1F">
        <w:t xml:space="preserve">service model </w:t>
      </w:r>
      <w:r w:rsidR="00DC6C2E">
        <w:t xml:space="preserve">where providers are reimbursed for the services they provide, </w:t>
      </w:r>
      <w:r w:rsidR="000A6F01">
        <w:t>or</w:t>
      </w:r>
      <w:r w:rsidR="00DC6C2E">
        <w:t xml:space="preserve"> in some cases, </w:t>
      </w:r>
      <w:r w:rsidR="00021C1F">
        <w:t>defensive medicine</w:t>
      </w:r>
      <w:r w:rsidR="000A6F01">
        <w:t xml:space="preserve">, the </w:t>
      </w:r>
      <w:r w:rsidR="00021C1F">
        <w:t>practice</w:t>
      </w:r>
      <w:r w:rsidR="000A6F01">
        <w:t xml:space="preserve"> leans </w:t>
      </w:r>
      <w:r w:rsidR="002406CC">
        <w:t>towards</w:t>
      </w:r>
      <w:r w:rsidR="000A6F01" w:rsidRPr="000A6F01">
        <w:t xml:space="preserve"> perform</w:t>
      </w:r>
      <w:r w:rsidR="000A6F01">
        <w:t>ing</w:t>
      </w:r>
      <w:r w:rsidR="000A6F01" w:rsidRPr="000A6F01">
        <w:t xml:space="preserve"> high volume of tests and services, regardless of whether those services improve quality or contribute to a broader </w:t>
      </w:r>
      <w:r w:rsidR="000A6F01" w:rsidRPr="000A6F01">
        <w:lastRenderedPageBreak/>
        <w:t>effort to manage care</w:t>
      </w:r>
      <w:r w:rsidR="00842935">
        <w:t xml:space="preserve"> (BPC, 2012)</w:t>
      </w:r>
      <w:r w:rsidR="000A6F01">
        <w:t>.</w:t>
      </w:r>
      <w:r w:rsidR="001D59F8">
        <w:t xml:space="preserve"> Medicare is now asking the healthcare provider </w:t>
      </w:r>
      <w:r w:rsidR="004C3F71">
        <w:t xml:space="preserve">for </w:t>
      </w:r>
      <w:r w:rsidR="001D59F8">
        <w:t xml:space="preserve">more evidence of quality and necessity of care to justify </w:t>
      </w:r>
      <w:r w:rsidR="004C3F71">
        <w:t>r</w:t>
      </w:r>
      <w:r w:rsidR="001D59F8">
        <w:t>eimbursement.</w:t>
      </w:r>
    </w:p>
    <w:p w:rsidR="006629C1" w:rsidRPr="00A16DA6" w:rsidRDefault="006629C1" w:rsidP="000A6F01">
      <w:pPr>
        <w:numPr>
          <w:ilvl w:val="0"/>
          <w:numId w:val="4"/>
        </w:numPr>
        <w:spacing w:line="480" w:lineRule="auto"/>
        <w:ind w:left="360" w:hanging="360"/>
        <w:outlineLvl w:val="0"/>
        <w:rPr>
          <w:b/>
        </w:rPr>
      </w:pPr>
      <w:r>
        <w:rPr>
          <w:b/>
        </w:rPr>
        <w:t>Research Question</w:t>
      </w:r>
    </w:p>
    <w:p w:rsidR="003C782A" w:rsidRDefault="00DD713E" w:rsidP="00B777E3">
      <w:pPr>
        <w:spacing w:line="480" w:lineRule="auto"/>
        <w:ind w:firstLine="360"/>
      </w:pPr>
      <w:r>
        <w:t xml:space="preserve">A </w:t>
      </w:r>
      <w:r w:rsidR="00C0183C">
        <w:t xml:space="preserve">healthcare </w:t>
      </w:r>
      <w:r w:rsidR="00C7343C">
        <w:t>organization</w:t>
      </w:r>
      <w:r w:rsidR="00C0183C">
        <w:t xml:space="preserve"> </w:t>
      </w:r>
      <w:r>
        <w:t xml:space="preserve">is </w:t>
      </w:r>
      <w:r w:rsidR="00C0183C">
        <w:t>planning</w:t>
      </w:r>
      <w:r>
        <w:t xml:space="preserve"> to implement</w:t>
      </w:r>
      <w:r w:rsidR="00C0183C">
        <w:t xml:space="preserve"> </w:t>
      </w:r>
      <w:r w:rsidR="00C7343C">
        <w:t xml:space="preserve">a chronic </w:t>
      </w:r>
      <w:r>
        <w:t>disease management program</w:t>
      </w:r>
      <w:r w:rsidR="00C0183C">
        <w:t xml:space="preserve"> for its </w:t>
      </w:r>
      <w:r w:rsidR="00C7343C">
        <w:t>M</w:t>
      </w:r>
      <w:r w:rsidR="00C0183C">
        <w:t>edicare constituents</w:t>
      </w:r>
      <w:r>
        <w:t xml:space="preserve">. </w:t>
      </w:r>
      <w:r w:rsidR="00C0183C">
        <w:t xml:space="preserve">The target conditions have been narrowed down to 5 chronic conditions, </w:t>
      </w:r>
      <w:r>
        <w:t xml:space="preserve">diabetes, </w:t>
      </w:r>
      <w:r w:rsidR="00C141E0">
        <w:t>congestive heart failure (</w:t>
      </w:r>
      <w:r>
        <w:t>CHF</w:t>
      </w:r>
      <w:r w:rsidR="00C141E0">
        <w:t>)</w:t>
      </w:r>
      <w:r>
        <w:t xml:space="preserve">, asthma, </w:t>
      </w:r>
      <w:r w:rsidR="00C141E0">
        <w:t>chronic obstructive pulmonary disease (</w:t>
      </w:r>
      <w:r>
        <w:t>COPD</w:t>
      </w:r>
      <w:r w:rsidR="00C141E0">
        <w:t>)</w:t>
      </w:r>
      <w:r>
        <w:t xml:space="preserve"> and hypertension. </w:t>
      </w:r>
      <w:r w:rsidR="00C0183C">
        <w:t>Due to resource constraints, the plan is to start one program at a time, with an estimated 3 month development for each program. The question is w</w:t>
      </w:r>
      <w:r>
        <w:t xml:space="preserve">hich of these programs will be </w:t>
      </w:r>
      <w:r w:rsidR="00C0183C">
        <w:t xml:space="preserve">most </w:t>
      </w:r>
      <w:r>
        <w:t>valuable to implement first?</w:t>
      </w:r>
      <w:r w:rsidR="00C344BD">
        <w:t xml:space="preserve"> </w:t>
      </w:r>
      <w:r w:rsidR="00E06CD9">
        <w:t xml:space="preserve">Corollary to that is the development sequence for which program will be built next until all 5 </w:t>
      </w:r>
      <w:r w:rsidR="00D14D02">
        <w:t xml:space="preserve">programs </w:t>
      </w:r>
      <w:r w:rsidR="00E06CD9">
        <w:t>are completed.</w:t>
      </w:r>
    </w:p>
    <w:p w:rsidR="007704F0" w:rsidRPr="00A16DA6" w:rsidRDefault="007704F0" w:rsidP="007704F0">
      <w:pPr>
        <w:numPr>
          <w:ilvl w:val="0"/>
          <w:numId w:val="4"/>
        </w:numPr>
        <w:spacing w:line="480" w:lineRule="auto"/>
        <w:ind w:left="360" w:hanging="360"/>
        <w:outlineLvl w:val="0"/>
        <w:rPr>
          <w:b/>
        </w:rPr>
      </w:pPr>
      <w:r>
        <w:rPr>
          <w:b/>
        </w:rPr>
        <w:t>Methods</w:t>
      </w:r>
    </w:p>
    <w:p w:rsidR="00111797" w:rsidRPr="00A40674" w:rsidRDefault="00111797" w:rsidP="0030588E">
      <w:pPr>
        <w:spacing w:line="480" w:lineRule="auto"/>
        <w:ind w:firstLine="360"/>
        <w:rPr>
          <w:b/>
        </w:rPr>
      </w:pPr>
      <w:r w:rsidRPr="00A40674">
        <w:rPr>
          <w:b/>
        </w:rPr>
        <w:t>Data Source</w:t>
      </w:r>
    </w:p>
    <w:p w:rsidR="00445255" w:rsidRDefault="00445255" w:rsidP="00B777E3">
      <w:pPr>
        <w:spacing w:line="480" w:lineRule="auto"/>
        <w:ind w:firstLine="360"/>
      </w:pPr>
      <w:r>
        <w:t xml:space="preserve">Data comes from several public sources. </w:t>
      </w:r>
      <w:r w:rsidR="003D6487">
        <w:t>C</w:t>
      </w:r>
      <w:r w:rsidRPr="00852BB2">
        <w:t>hronic condition reports based upon CMS administrative enrollment and claims data for Medicare beneficiaries enrolled in the fee-for-service program</w:t>
      </w:r>
      <w:r w:rsidR="002863E1">
        <w:t xml:space="preserve"> for 2012</w:t>
      </w:r>
      <w:r w:rsidRPr="00852BB2">
        <w:t xml:space="preserve"> are available from the CMS Chronic Condition Data Warehouse (CCW), </w:t>
      </w:r>
      <w:hyperlink r:id="rId9" w:history="1">
        <w:r w:rsidRPr="00852BB2">
          <w:rPr>
            <w:rStyle w:val="Hyperlink"/>
            <w:color w:val="auto"/>
            <w:u w:val="none"/>
          </w:rPr>
          <w:t>www.ccwdata.org</w:t>
        </w:r>
      </w:hyperlink>
      <w:r w:rsidRPr="00852BB2">
        <w:t xml:space="preserve">. </w:t>
      </w:r>
      <w:r w:rsidR="000D612F">
        <w:t>Data also came</w:t>
      </w:r>
      <w:r>
        <w:t xml:space="preserve"> from </w:t>
      </w:r>
      <w:r w:rsidRPr="00716BCE">
        <w:t>HCUPnet</w:t>
      </w:r>
      <w:r>
        <w:t xml:space="preserve">, </w:t>
      </w:r>
      <w:r w:rsidRPr="00716BCE">
        <w:t>a free, on-line query system based on data from the Healthcare Cost and Utilization Project (HCUP). It provides access to health statistics and information on hospital inpatient and emergency department utilization.</w:t>
      </w:r>
      <w:r w:rsidR="00B56E90">
        <w:t xml:space="preserve"> </w:t>
      </w:r>
      <w:r w:rsidR="00867858">
        <w:t xml:space="preserve">Another source is nonprofit </w:t>
      </w:r>
      <w:r w:rsidR="00867858" w:rsidRPr="00867858">
        <w:t>news service</w:t>
      </w:r>
      <w:r w:rsidR="00867858">
        <w:t xml:space="preserve">, Kaiser Health News. </w:t>
      </w:r>
      <w:r w:rsidR="00C210E6">
        <w:t>See</w:t>
      </w:r>
      <w:r w:rsidR="000D612F">
        <w:t xml:space="preserve"> Appendix B</w:t>
      </w:r>
      <w:r w:rsidR="00E11196">
        <w:t>: Public DataSets</w:t>
      </w:r>
      <w:r w:rsidR="00C210E6">
        <w:t xml:space="preserve"> for details</w:t>
      </w:r>
      <w:r w:rsidR="00B56E90">
        <w:t>.</w:t>
      </w:r>
      <w:r>
        <w:t xml:space="preserve"> </w:t>
      </w:r>
    </w:p>
    <w:p w:rsidR="006B2A59" w:rsidRDefault="006B2A59" w:rsidP="00B777E3">
      <w:pPr>
        <w:spacing w:line="480" w:lineRule="auto"/>
        <w:ind w:firstLine="360"/>
      </w:pPr>
      <w:r>
        <w:t>The CMS datasets were used as is, capturing only the Illinois values. For the readmission ratios, rows from the KHN data with status of “too few cases to evaluate” were not included in the analysis.</w:t>
      </w:r>
    </w:p>
    <w:p w:rsidR="00131468" w:rsidRDefault="008A7131" w:rsidP="00131468">
      <w:pPr>
        <w:spacing w:line="480" w:lineRule="auto"/>
        <w:ind w:firstLine="360"/>
        <w:rPr>
          <w:b/>
        </w:rPr>
      </w:pPr>
      <w:r>
        <w:rPr>
          <w:b/>
        </w:rPr>
        <w:lastRenderedPageBreak/>
        <w:t>Study Population</w:t>
      </w:r>
    </w:p>
    <w:p w:rsidR="00B42EB4" w:rsidRPr="00131468" w:rsidRDefault="008A7131" w:rsidP="00131468">
      <w:pPr>
        <w:spacing w:line="480" w:lineRule="auto"/>
        <w:ind w:firstLine="360"/>
        <w:rPr>
          <w:b/>
        </w:rPr>
      </w:pPr>
      <w:r>
        <w:t xml:space="preserve">The target population are Illinois fee-for-service Medicare beneficiaries of all ages with the </w:t>
      </w:r>
      <w:r w:rsidR="00B42EB4">
        <w:t>following chronic conditions: diabetes, congestive heart failure (CHF), asthma, chronic obstructive pulmonary disease (COPD) and hypertension.</w:t>
      </w:r>
      <w:r w:rsidR="008F6DC1">
        <w:t xml:space="preserve"> </w:t>
      </w:r>
    </w:p>
    <w:p w:rsidR="008A7131" w:rsidRPr="00A40674" w:rsidRDefault="008A7131" w:rsidP="008A7131">
      <w:pPr>
        <w:spacing w:line="480" w:lineRule="auto"/>
        <w:ind w:firstLine="360"/>
        <w:rPr>
          <w:b/>
        </w:rPr>
      </w:pPr>
      <w:r>
        <w:rPr>
          <w:b/>
        </w:rPr>
        <w:t>Variables</w:t>
      </w:r>
    </w:p>
    <w:p w:rsidR="00B41A72" w:rsidRDefault="008A7131" w:rsidP="0030588E">
      <w:pPr>
        <w:spacing w:line="480" w:lineRule="auto"/>
        <w:ind w:firstLine="360"/>
      </w:pPr>
      <w:r>
        <w:t xml:space="preserve">The variables </w:t>
      </w:r>
      <w:r w:rsidR="004E46A7">
        <w:t xml:space="preserve">included </w:t>
      </w:r>
      <w:r>
        <w:t xml:space="preserve">are the Medicare spending for these conditions, the prevalence rate among the beneficiaries, readmissions </w:t>
      </w:r>
      <w:r w:rsidR="00DE1173">
        <w:t xml:space="preserve">rate and cost, and </w:t>
      </w:r>
      <w:r>
        <w:t xml:space="preserve">penalty </w:t>
      </w:r>
      <w:r w:rsidR="00DE1173">
        <w:t>for excess readmissions</w:t>
      </w:r>
      <w:r>
        <w:t>.</w:t>
      </w:r>
      <w:r w:rsidR="005D4244">
        <w:t xml:space="preserve"> </w:t>
      </w:r>
    </w:p>
    <w:p w:rsidR="001D63AA" w:rsidRPr="00E06E95" w:rsidRDefault="001D63AA" w:rsidP="00180551">
      <w:pPr>
        <w:spacing w:line="480" w:lineRule="auto"/>
        <w:rPr>
          <w:i/>
        </w:rPr>
      </w:pPr>
      <w:r w:rsidRPr="00E06E95">
        <w:rPr>
          <w:i/>
        </w:rPr>
        <w:t>Prevalence rate:</w:t>
      </w:r>
    </w:p>
    <w:p w:rsidR="00237329" w:rsidRDefault="00E06E95" w:rsidP="00180551">
      <w:pPr>
        <w:spacing w:line="480" w:lineRule="auto"/>
      </w:pPr>
      <w:r>
        <w:t>B</w:t>
      </w:r>
      <w:r w:rsidR="00237329" w:rsidRPr="00237329">
        <w:t>eneficiaries with a particular condition divided by the total number of beneficiaries in our fee-for-service population, expressed as a percentage.</w:t>
      </w:r>
      <w:r w:rsidR="00237329">
        <w:t xml:space="preserve"> </w:t>
      </w:r>
      <w:r w:rsidR="00074E63">
        <w:t>(CMS.gov)</w:t>
      </w:r>
    </w:p>
    <w:p w:rsidR="004F2E9D" w:rsidRPr="00E06E95" w:rsidRDefault="004F2E9D" w:rsidP="00180551">
      <w:pPr>
        <w:spacing w:line="480" w:lineRule="auto"/>
        <w:rPr>
          <w:i/>
        </w:rPr>
      </w:pPr>
      <w:r w:rsidRPr="00E06E95">
        <w:rPr>
          <w:i/>
        </w:rPr>
        <w:t xml:space="preserve">Per capita spending: </w:t>
      </w:r>
    </w:p>
    <w:p w:rsidR="001F777F" w:rsidRDefault="00E06E95" w:rsidP="00180551">
      <w:pPr>
        <w:spacing w:line="480" w:lineRule="auto"/>
      </w:pPr>
      <w:r>
        <w:t>T</w:t>
      </w:r>
      <w:r w:rsidR="001F777F" w:rsidRPr="00731E97">
        <w:t>otal Medicare payments for all Medicare covered services in Parts A and B and is presented per</w:t>
      </w:r>
      <w:r w:rsidR="008D35F6">
        <w:t xml:space="preserve"> beneficiary (i.e. per capita). (CMS.gov). Bo</w:t>
      </w:r>
      <w:r w:rsidR="008D35F6" w:rsidRPr="008D35F6">
        <w:t xml:space="preserve">th total actual payments </w:t>
      </w:r>
      <w:r w:rsidR="008D35F6">
        <w:t>a</w:t>
      </w:r>
      <w:r w:rsidR="008D35F6" w:rsidRPr="008D35F6">
        <w:t>nd total standardized payments are presented</w:t>
      </w:r>
      <w:r w:rsidR="008D35F6">
        <w:t xml:space="preserve"> but the study used only the standardized spending</w:t>
      </w:r>
      <w:r>
        <w:t xml:space="preserve">. </w:t>
      </w:r>
      <w:r w:rsidR="00597AF0">
        <w:t>CMS</w:t>
      </w:r>
      <w:r w:rsidR="00597AF0" w:rsidRPr="00597AF0">
        <w:t xml:space="preserve"> remove</w:t>
      </w:r>
      <w:r w:rsidR="00597AF0">
        <w:t>s</w:t>
      </w:r>
      <w:r w:rsidR="00597AF0" w:rsidRPr="00597AF0">
        <w:t xml:space="preserve"> geographic differences in payment rates for individual services as a source of variation</w:t>
      </w:r>
      <w:r w:rsidR="008D35F6">
        <w:t>.</w:t>
      </w:r>
    </w:p>
    <w:p w:rsidR="001D63AA" w:rsidRPr="00E06E95" w:rsidRDefault="001D63AA" w:rsidP="00180551">
      <w:pPr>
        <w:spacing w:line="480" w:lineRule="auto"/>
        <w:rPr>
          <w:i/>
        </w:rPr>
      </w:pPr>
      <w:r w:rsidRPr="00E06E95">
        <w:rPr>
          <w:i/>
        </w:rPr>
        <w:t>Readmission rate:</w:t>
      </w:r>
    </w:p>
    <w:p w:rsidR="00731E97" w:rsidRDefault="001A632E" w:rsidP="00180551">
      <w:pPr>
        <w:spacing w:line="480" w:lineRule="auto"/>
      </w:pPr>
      <w:r>
        <w:t>R</w:t>
      </w:r>
      <w:r w:rsidR="00731E97" w:rsidRPr="00731E97">
        <w:t xml:space="preserve">eadmission is defined as an admission to an acute care hospital for any cause within 30 days of discharge from an acute care hospital. Except when the patient died during the stay, each inpatient stay is classified as an index admission, a readmission, or both. </w:t>
      </w:r>
      <w:r w:rsidR="00731E97">
        <w:t>Readmission rates are calculated as the number of readmissions divided by the number of admissions and expressed as a percentage of all admissions. (CMS.gov)</w:t>
      </w:r>
    </w:p>
    <w:p w:rsidR="001D63AA" w:rsidRPr="00C15F55" w:rsidRDefault="001D63AA" w:rsidP="00180551">
      <w:pPr>
        <w:spacing w:line="480" w:lineRule="auto"/>
        <w:rPr>
          <w:i/>
        </w:rPr>
      </w:pPr>
      <w:r w:rsidRPr="00C15F55">
        <w:rPr>
          <w:i/>
        </w:rPr>
        <w:t>Excess readmission ratio:</w:t>
      </w:r>
    </w:p>
    <w:p w:rsidR="003D1EA1" w:rsidRDefault="00C15F55" w:rsidP="00180551">
      <w:pPr>
        <w:spacing w:line="480" w:lineRule="auto"/>
      </w:pPr>
      <w:r>
        <w:t>R</w:t>
      </w:r>
      <w:r w:rsidR="003D1EA1" w:rsidRPr="003D1EA1">
        <w:t>isk-adjusted predicted readmissions/risk-adjusted expected readmissions</w:t>
      </w:r>
    </w:p>
    <w:p w:rsidR="001D63AA" w:rsidRPr="00C15F55" w:rsidRDefault="001D63AA" w:rsidP="00180551">
      <w:pPr>
        <w:spacing w:line="480" w:lineRule="auto"/>
        <w:rPr>
          <w:i/>
        </w:rPr>
      </w:pPr>
      <w:r w:rsidRPr="00C15F55">
        <w:rPr>
          <w:i/>
        </w:rPr>
        <w:lastRenderedPageBreak/>
        <w:t>Penalty adjustment:</w:t>
      </w:r>
    </w:p>
    <w:p w:rsidR="00111797" w:rsidRDefault="00A038CA" w:rsidP="00180551">
      <w:pPr>
        <w:spacing w:line="480" w:lineRule="auto"/>
      </w:pPr>
      <w:r>
        <w:t>A complex calculation by CMS which takes into account the a</w:t>
      </w:r>
      <w:r w:rsidR="00C15F55">
        <w:t>ggregate payments for excess readmissions</w:t>
      </w:r>
      <w:r>
        <w:t xml:space="preserve"> divided by a</w:t>
      </w:r>
      <w:r w:rsidR="00C15F55">
        <w:t>ggregate payments for all discharges</w:t>
      </w:r>
      <w:r>
        <w:t xml:space="preserve">. </w:t>
      </w:r>
      <w:r w:rsidR="00C15F55">
        <w:t>For FY 2013, the higher of the</w:t>
      </w:r>
      <w:r>
        <w:t>se</w:t>
      </w:r>
      <w:r w:rsidR="00C15F55">
        <w:t xml:space="preserve"> </w:t>
      </w:r>
      <w:r>
        <w:t xml:space="preserve">ratio </w:t>
      </w:r>
      <w:r w:rsidR="00C15F55">
        <w:t xml:space="preserve">or 0.99 </w:t>
      </w:r>
      <w:r>
        <w:t>is factored into the penalty.</w:t>
      </w:r>
      <w:r w:rsidR="005C747A">
        <w:t xml:space="preserve"> (CMS.gov)</w:t>
      </w:r>
      <w:r w:rsidR="00BC23A5">
        <w:t>.</w:t>
      </w:r>
      <w:r w:rsidR="005C747A">
        <w:t xml:space="preserve"> </w:t>
      </w:r>
      <w:r w:rsidR="00B24739">
        <w:t>P</w:t>
      </w:r>
      <w:r w:rsidR="00BC23A5" w:rsidRPr="00BC23A5">
        <w:t>enalties are percentage reduction</w:t>
      </w:r>
      <w:r w:rsidR="00BC23A5">
        <w:t>s</w:t>
      </w:r>
      <w:r w:rsidR="00BC23A5" w:rsidRPr="00BC23A5">
        <w:t xml:space="preserve"> </w:t>
      </w:r>
      <w:r w:rsidR="00BC23A5">
        <w:t>of the</w:t>
      </w:r>
      <w:r w:rsidR="00BC23A5" w:rsidRPr="00BC23A5">
        <w:t xml:space="preserve"> Medicare payments</w:t>
      </w:r>
      <w:r w:rsidR="00BC23A5">
        <w:t>.</w:t>
      </w:r>
    </w:p>
    <w:p w:rsidR="00911677" w:rsidRDefault="00911677" w:rsidP="00911677">
      <w:pPr>
        <w:numPr>
          <w:ilvl w:val="0"/>
          <w:numId w:val="4"/>
        </w:numPr>
        <w:spacing w:line="480" w:lineRule="auto"/>
        <w:ind w:left="450" w:hanging="450"/>
        <w:outlineLvl w:val="0"/>
        <w:rPr>
          <w:b/>
        </w:rPr>
      </w:pPr>
      <w:r>
        <w:rPr>
          <w:b/>
        </w:rPr>
        <w:t>Decision Tree</w:t>
      </w:r>
    </w:p>
    <w:p w:rsidR="00A87792" w:rsidRDefault="005D4244" w:rsidP="00FF0ADA">
      <w:pPr>
        <w:spacing w:line="480" w:lineRule="auto"/>
        <w:ind w:firstLine="270"/>
      </w:pPr>
      <w:r>
        <w:t xml:space="preserve">The variables were selected </w:t>
      </w:r>
      <w:r w:rsidR="004E46A7">
        <w:t xml:space="preserve">to know the </w:t>
      </w:r>
      <w:r>
        <w:t>probability of a condition occurring among the population</w:t>
      </w:r>
      <w:r w:rsidR="004E46A7">
        <w:t xml:space="preserve"> and cost for the</w:t>
      </w:r>
      <w:r>
        <w:t xml:space="preserve"> disease. Since penalties are incurred due to readmissions, the rate and cost of </w:t>
      </w:r>
      <w:r w:rsidR="004E46A7">
        <w:t>readmissions</w:t>
      </w:r>
      <w:r>
        <w:t xml:space="preserve"> were the next to be included in the </w:t>
      </w:r>
      <w:r w:rsidR="004E46A7">
        <w:t>tree</w:t>
      </w:r>
      <w:r>
        <w:t xml:space="preserve">. </w:t>
      </w:r>
      <w:r w:rsidR="00A87792">
        <w:t xml:space="preserve">The measurable utility </w:t>
      </w:r>
      <w:r w:rsidR="004E46A7">
        <w:t>is</w:t>
      </w:r>
      <w:r w:rsidR="00A87792">
        <w:t xml:space="preserve"> the expected value of the decision </w:t>
      </w:r>
      <w:r>
        <w:t>t</w:t>
      </w:r>
      <w:r w:rsidR="00A87792">
        <w:t xml:space="preserve">ree. The criterion </w:t>
      </w:r>
      <w:r>
        <w:t>looks</w:t>
      </w:r>
      <w:r w:rsidR="00A87792">
        <w:t xml:space="preserve"> at the highest EV for Medicare spending. This equates to </w:t>
      </w:r>
      <w:r>
        <w:t>r</w:t>
      </w:r>
      <w:r w:rsidR="00A87792">
        <w:t xml:space="preserve">eimbursements for providers. </w:t>
      </w:r>
      <w:r w:rsidR="00084470">
        <w:t>The</w:t>
      </w:r>
      <w:r w:rsidR="00A87792">
        <w:t xml:space="preserve"> chronic disease management program </w:t>
      </w:r>
      <w:r w:rsidR="00084470">
        <w:t>wants to avoid the readmission penalty that will reduce reimbursements for the organization.</w:t>
      </w:r>
      <w:r w:rsidR="00A87792">
        <w:t xml:space="preserve"> </w:t>
      </w:r>
    </w:p>
    <w:p w:rsidR="00C875D8" w:rsidRDefault="00AB4355" w:rsidP="00A15CF4">
      <w:pPr>
        <w:spacing w:line="480" w:lineRule="auto"/>
      </w:pPr>
      <w:r>
        <w:t xml:space="preserve">The table below shows the </w:t>
      </w:r>
      <w:r w:rsidR="005D4244">
        <w:t>values of each variable:</w:t>
      </w:r>
    </w:p>
    <w:p w:rsidR="00D159A1" w:rsidRDefault="00F5375D" w:rsidP="00A15CF4">
      <w:pPr>
        <w:spacing w:line="480" w:lineRule="auto"/>
      </w:pPr>
      <w:r>
        <w:rPr>
          <w:noProof/>
        </w:rPr>
        <w:drawing>
          <wp:inline distT="0" distB="0" distL="0" distR="0">
            <wp:extent cx="4773930" cy="1329055"/>
            <wp:effectExtent l="19050" t="19050" r="2667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930" cy="1329055"/>
                    </a:xfrm>
                    <a:prstGeom prst="rect">
                      <a:avLst/>
                    </a:prstGeom>
                    <a:noFill/>
                    <a:ln w="6350" cmpd="sng">
                      <a:solidFill>
                        <a:srgbClr val="000000"/>
                      </a:solidFill>
                      <a:miter lim="800000"/>
                      <a:headEnd/>
                      <a:tailEnd/>
                    </a:ln>
                    <a:effectLst/>
                  </pic:spPr>
                </pic:pic>
              </a:graphicData>
            </a:graphic>
          </wp:inline>
        </w:drawing>
      </w:r>
    </w:p>
    <w:p w:rsidR="00131468" w:rsidRDefault="00957869" w:rsidP="00131468">
      <w:pPr>
        <w:spacing w:line="480" w:lineRule="auto"/>
        <w:ind w:firstLine="450"/>
      </w:pPr>
      <w:r>
        <w:t>A section of t</w:t>
      </w:r>
      <w:r w:rsidR="00F634FA" w:rsidRPr="00F634FA">
        <w:t>he</w:t>
      </w:r>
      <w:r w:rsidR="00F634FA">
        <w:t xml:space="preserve"> decisi</w:t>
      </w:r>
      <w:r w:rsidR="00732B17">
        <w:t xml:space="preserve">on tree model is as shown below, and the </w:t>
      </w:r>
      <w:r w:rsidR="00A12634">
        <w:t>file</w:t>
      </w:r>
      <w:r w:rsidR="008A11E8">
        <w:t xml:space="preserve"> is also embedded in this </w:t>
      </w:r>
      <w:r w:rsidR="00A12634">
        <w:t>d</w:t>
      </w:r>
      <w:r w:rsidR="0088068A">
        <w:t>ocument</w:t>
      </w:r>
      <w:r w:rsidR="00A12634">
        <w:t xml:space="preserve">. (Appendix </w:t>
      </w:r>
      <w:r w:rsidR="00E57916">
        <w:t>C</w:t>
      </w:r>
      <w:r w:rsidR="00840B5A">
        <w:t>: Decision Tree</w:t>
      </w:r>
      <w:r w:rsidR="00E57916">
        <w:t>)</w:t>
      </w:r>
      <w:r w:rsidR="00C17A01">
        <w:t>.</w:t>
      </w:r>
    </w:p>
    <w:p w:rsidR="006E5B7B" w:rsidRDefault="00F5375D" w:rsidP="00131468">
      <w:pPr>
        <w:spacing w:line="480" w:lineRule="auto"/>
      </w:pPr>
      <w:r>
        <w:rPr>
          <w:noProof/>
        </w:rPr>
        <w:lastRenderedPageBreak/>
        <w:drawing>
          <wp:inline distT="0" distB="0" distL="0" distR="0">
            <wp:extent cx="4773930" cy="1711960"/>
            <wp:effectExtent l="19050" t="19050" r="2667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3930" cy="1711960"/>
                    </a:xfrm>
                    <a:prstGeom prst="rect">
                      <a:avLst/>
                    </a:prstGeom>
                    <a:noFill/>
                    <a:ln w="6350" cmpd="sng">
                      <a:solidFill>
                        <a:srgbClr val="000000"/>
                      </a:solidFill>
                      <a:miter lim="800000"/>
                      <a:headEnd/>
                      <a:tailEnd/>
                    </a:ln>
                    <a:effectLst/>
                  </pic:spPr>
                </pic:pic>
              </a:graphicData>
            </a:graphic>
          </wp:inline>
        </w:drawing>
      </w:r>
    </w:p>
    <w:p w:rsidR="00693EB6" w:rsidRDefault="003D07A1" w:rsidP="00B516AC">
      <w:pPr>
        <w:spacing w:line="480" w:lineRule="auto"/>
        <w:ind w:firstLine="450"/>
      </w:pPr>
      <w:r>
        <w:t xml:space="preserve">The next event is the penalty cost. </w:t>
      </w:r>
      <w:r w:rsidR="00B516AC">
        <w:t>S</w:t>
      </w:r>
      <w:r>
        <w:t>ome diseases do not have the penalty event. This is due to the fact that the</w:t>
      </w:r>
      <w:r w:rsidR="002F7BC8">
        <w:t xml:space="preserve"> Readmissions Reduction Program (RRP)</w:t>
      </w:r>
      <w:r>
        <w:t xml:space="preserve"> only </w:t>
      </w:r>
      <w:r w:rsidR="002F7BC8">
        <w:t>considers</w:t>
      </w:r>
      <w:r>
        <w:t xml:space="preserve"> </w:t>
      </w:r>
      <w:r w:rsidR="002F7BC8">
        <w:t>3 conditions (</w:t>
      </w:r>
      <w:r>
        <w:t>acute myocardial infarction, pneumonia and heart failure</w:t>
      </w:r>
      <w:r w:rsidR="002F7BC8">
        <w:t xml:space="preserve">), </w:t>
      </w:r>
      <w:r>
        <w:t xml:space="preserve">and </w:t>
      </w:r>
      <w:r w:rsidR="002F7BC8">
        <w:t xml:space="preserve">for FY2015, adding </w:t>
      </w:r>
      <w:r>
        <w:t>COPD</w:t>
      </w:r>
      <w:r w:rsidR="002F7BC8">
        <w:t>. Hence, in this study, CHF and COPD will have the event for penalties</w:t>
      </w:r>
      <w:r>
        <w:t>.</w:t>
      </w:r>
    </w:p>
    <w:p w:rsidR="002F7BC8" w:rsidRDefault="00F5375D" w:rsidP="002D5D23">
      <w:pPr>
        <w:spacing w:line="480" w:lineRule="auto"/>
      </w:pPr>
      <w:r>
        <w:rPr>
          <w:noProof/>
        </w:rPr>
        <w:drawing>
          <wp:inline distT="0" distB="0" distL="0" distR="0">
            <wp:extent cx="5071745" cy="2243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1745" cy="2243455"/>
                    </a:xfrm>
                    <a:prstGeom prst="rect">
                      <a:avLst/>
                    </a:prstGeom>
                    <a:noFill/>
                    <a:ln>
                      <a:noFill/>
                    </a:ln>
                  </pic:spPr>
                </pic:pic>
              </a:graphicData>
            </a:graphic>
          </wp:inline>
        </w:drawing>
      </w:r>
    </w:p>
    <w:p w:rsidR="0021082F" w:rsidRDefault="00906BB1" w:rsidP="00906BB1">
      <w:pPr>
        <w:spacing w:line="480" w:lineRule="auto"/>
        <w:ind w:firstLine="450"/>
      </w:pPr>
      <w:r>
        <w:t xml:space="preserve">Since COPD data is not yet available, the study uses the same values as the CHF for the penalties. </w:t>
      </w:r>
      <w:r w:rsidR="003B1F75">
        <w:t>The probability ERR was computed as the number of hospitals in IL with penalties divided by the total number of hospitals. (</w:t>
      </w:r>
      <w:r w:rsidR="009D6DAD">
        <w:t xml:space="preserve">KHN, Sep 2012, </w:t>
      </w:r>
      <w:r w:rsidR="003B1F75" w:rsidRPr="003B1F75">
        <w:t>Medicare Readmission Penalties by Hospital</w:t>
      </w:r>
      <w:r w:rsidR="009D6DAD">
        <w:t>)</w:t>
      </w:r>
      <w:r w:rsidR="005422E0">
        <w:t>. The adjustment factor was the average of all the penalties. Penalty cost is calculated as the adjustment multiplied by the sum of all spending.</w:t>
      </w:r>
    </w:p>
    <w:p w:rsidR="002F7BC8" w:rsidRDefault="00F5375D" w:rsidP="0021082F">
      <w:pPr>
        <w:spacing w:line="480" w:lineRule="auto"/>
      </w:pPr>
      <w:r>
        <w:rPr>
          <w:noProof/>
        </w:rPr>
        <w:lastRenderedPageBreak/>
        <w:drawing>
          <wp:inline distT="0" distB="0" distL="0" distR="0">
            <wp:extent cx="4912360" cy="2487930"/>
            <wp:effectExtent l="19050" t="19050" r="2159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360" cy="2487930"/>
                    </a:xfrm>
                    <a:prstGeom prst="rect">
                      <a:avLst/>
                    </a:prstGeom>
                    <a:noFill/>
                    <a:ln w="6350" cmpd="sng">
                      <a:solidFill>
                        <a:srgbClr val="000000"/>
                      </a:solidFill>
                      <a:miter lim="800000"/>
                      <a:headEnd/>
                      <a:tailEnd/>
                    </a:ln>
                    <a:effectLst/>
                  </pic:spPr>
                </pic:pic>
              </a:graphicData>
            </a:graphic>
          </wp:inline>
        </w:drawing>
      </w:r>
    </w:p>
    <w:p w:rsidR="00081EC8" w:rsidRDefault="00081EC8" w:rsidP="00081EC8">
      <w:pPr>
        <w:numPr>
          <w:ilvl w:val="0"/>
          <w:numId w:val="4"/>
        </w:numPr>
        <w:spacing w:line="480" w:lineRule="auto"/>
        <w:ind w:left="450" w:hanging="450"/>
        <w:outlineLvl w:val="0"/>
        <w:rPr>
          <w:b/>
        </w:rPr>
      </w:pPr>
      <w:r>
        <w:rPr>
          <w:b/>
        </w:rPr>
        <w:t>Result</w:t>
      </w:r>
    </w:p>
    <w:p w:rsidR="0010204F" w:rsidRDefault="00081EC8" w:rsidP="00F66264">
      <w:pPr>
        <w:spacing w:line="480" w:lineRule="auto"/>
        <w:ind w:firstLine="450"/>
      </w:pPr>
      <w:r w:rsidRPr="00081EC8">
        <w:t>The</w:t>
      </w:r>
      <w:r>
        <w:t xml:space="preserve"> result shows the highest EV goes to CHF. It is the optimal strategy of the organization to first implement the CHF program, then hypertension, diabetes, </w:t>
      </w:r>
      <w:r w:rsidR="00A65372">
        <w:t>asthma</w:t>
      </w:r>
      <w:r>
        <w:t xml:space="preserve"> and lastly, </w:t>
      </w:r>
      <w:r w:rsidR="00A65372">
        <w:t>COPD</w:t>
      </w:r>
      <w:r>
        <w:t>.</w:t>
      </w:r>
    </w:p>
    <w:p w:rsidR="0065008A" w:rsidRDefault="00F5375D" w:rsidP="0065008A">
      <w:pPr>
        <w:spacing w:line="480" w:lineRule="auto"/>
      </w:pPr>
      <w:r>
        <w:rPr>
          <w:noProof/>
        </w:rPr>
        <w:drawing>
          <wp:inline distT="0" distB="0" distL="0" distR="0">
            <wp:extent cx="5858510" cy="4433570"/>
            <wp:effectExtent l="19050" t="19050" r="2794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8510" cy="4433570"/>
                    </a:xfrm>
                    <a:prstGeom prst="rect">
                      <a:avLst/>
                    </a:prstGeom>
                    <a:noFill/>
                    <a:ln w="6350" cmpd="sng">
                      <a:solidFill>
                        <a:srgbClr val="000000"/>
                      </a:solidFill>
                      <a:miter lim="800000"/>
                      <a:headEnd/>
                      <a:tailEnd/>
                    </a:ln>
                    <a:effectLst/>
                  </pic:spPr>
                </pic:pic>
              </a:graphicData>
            </a:graphic>
          </wp:inline>
        </w:drawing>
      </w:r>
    </w:p>
    <w:p w:rsidR="00012FA4" w:rsidRDefault="00A20519" w:rsidP="00F66264">
      <w:pPr>
        <w:spacing w:line="480" w:lineRule="auto"/>
        <w:ind w:firstLine="450"/>
      </w:pPr>
      <w:r>
        <w:lastRenderedPageBreak/>
        <w:t xml:space="preserve">If the decision </w:t>
      </w:r>
      <w:r w:rsidR="000813FC">
        <w:t>is judged</w:t>
      </w:r>
      <w:r>
        <w:t xml:space="preserve"> only by the number of p</w:t>
      </w:r>
      <w:r w:rsidR="000813FC">
        <w:t>atients</w:t>
      </w:r>
      <w:r>
        <w:t xml:space="preserve">, hypertension will win </w:t>
      </w:r>
      <w:r w:rsidR="000813FC">
        <w:t>due to a higher prevalence rate than</w:t>
      </w:r>
      <w:r>
        <w:t xml:space="preserve"> the rest of the </w:t>
      </w:r>
      <w:r w:rsidR="000813FC">
        <w:t>diseases</w:t>
      </w:r>
      <w:r>
        <w:t xml:space="preserve">. </w:t>
      </w:r>
      <w:r w:rsidR="000813FC">
        <w:t>However,</w:t>
      </w:r>
      <w:r w:rsidR="00012FA4">
        <w:t xml:space="preserve"> taking into account all the other factors like readmissions and penalties, CHF came out as the most optimal strategy.</w:t>
      </w:r>
    </w:p>
    <w:p w:rsidR="0065008A" w:rsidRDefault="00012FA4" w:rsidP="00F66264">
      <w:pPr>
        <w:spacing w:line="480" w:lineRule="auto"/>
        <w:ind w:firstLine="450"/>
      </w:pPr>
      <w:r>
        <w:t xml:space="preserve">To see the point at which the strategy would change, and determine how much penalties affect the outcome, a sensitivity analysis of the penalty probabilities and adjustment factors was conducted between CHF and hypertension. If the penalty adjustment is greater than .51, then starting with hypertension becomes more optimal, because the penalty for CHF </w:t>
      </w:r>
      <w:r w:rsidR="001C16A7">
        <w:t>would be so great that hospitals will incur less reimbursements for the disease.</w:t>
      </w:r>
    </w:p>
    <w:p w:rsidR="00012FA4" w:rsidRDefault="00F5375D" w:rsidP="006F321F">
      <w:pPr>
        <w:spacing w:line="480" w:lineRule="auto"/>
        <w:rPr>
          <w:noProof/>
        </w:rPr>
      </w:pPr>
      <w:r>
        <w:rPr>
          <w:noProof/>
        </w:rPr>
        <w:drawing>
          <wp:inline distT="0" distB="0" distL="0" distR="0">
            <wp:extent cx="3933825" cy="3147060"/>
            <wp:effectExtent l="19050" t="19050" r="2857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825" cy="3147060"/>
                    </a:xfrm>
                    <a:prstGeom prst="rect">
                      <a:avLst/>
                    </a:prstGeom>
                    <a:noFill/>
                    <a:ln w="6350" cmpd="sng">
                      <a:solidFill>
                        <a:srgbClr val="000000"/>
                      </a:solidFill>
                      <a:miter lim="800000"/>
                      <a:headEnd/>
                      <a:tailEnd/>
                    </a:ln>
                    <a:effectLst/>
                  </pic:spPr>
                </pic:pic>
              </a:graphicData>
            </a:graphic>
          </wp:inline>
        </w:drawing>
      </w:r>
    </w:p>
    <w:p w:rsidR="00996D80" w:rsidRDefault="00996D80" w:rsidP="00996D80"/>
    <w:p w:rsidR="00DA7124" w:rsidRDefault="00DA7124" w:rsidP="00DA7124">
      <w:pPr>
        <w:numPr>
          <w:ilvl w:val="0"/>
          <w:numId w:val="4"/>
        </w:numPr>
        <w:spacing w:line="480" w:lineRule="auto"/>
        <w:ind w:left="450" w:hanging="450"/>
        <w:outlineLvl w:val="0"/>
        <w:rPr>
          <w:b/>
        </w:rPr>
      </w:pPr>
      <w:r>
        <w:rPr>
          <w:b/>
        </w:rPr>
        <w:t>Discussion</w:t>
      </w:r>
    </w:p>
    <w:p w:rsidR="00C22306" w:rsidRDefault="00C22306" w:rsidP="00E71516">
      <w:pPr>
        <w:spacing w:line="480" w:lineRule="auto"/>
        <w:ind w:firstLine="450"/>
      </w:pPr>
      <w:r>
        <w:t>This study address</w:t>
      </w:r>
      <w:r w:rsidR="001278D5">
        <w:t>es the use of decision making tools to assist an organization in</w:t>
      </w:r>
      <w:r w:rsidR="00843B00">
        <w:t xml:space="preserve"> deciding when and how to implement programs</w:t>
      </w:r>
      <w:r>
        <w:t xml:space="preserve">. </w:t>
      </w:r>
      <w:r w:rsidR="00843B00">
        <w:t xml:space="preserve">Part of the limitation of the study is that it is using public data sets at state-level. </w:t>
      </w:r>
      <w:r w:rsidR="00896D91">
        <w:t xml:space="preserve">Analysis for company projects are confidential and therefore it is not possible to use actual </w:t>
      </w:r>
      <w:r w:rsidR="00446E39">
        <w:t>company</w:t>
      </w:r>
      <w:r w:rsidR="00896D91">
        <w:t xml:space="preserve"> data. </w:t>
      </w:r>
      <w:r w:rsidR="00843B00">
        <w:t xml:space="preserve">However, </w:t>
      </w:r>
      <w:r w:rsidR="002420F2">
        <w:t>the</w:t>
      </w:r>
      <w:r w:rsidR="00843B00">
        <w:t xml:space="preserve"> model</w:t>
      </w:r>
      <w:r w:rsidR="002420F2">
        <w:t xml:space="preserve"> does describe the approach that the </w:t>
      </w:r>
      <w:r w:rsidR="002420F2">
        <w:lastRenderedPageBreak/>
        <w:t>company will take to perform decisions.</w:t>
      </w:r>
      <w:r w:rsidR="002F741A">
        <w:t xml:space="preserve"> The model, when used with actual company data, would also reflect </w:t>
      </w:r>
      <w:r w:rsidR="004F6C12">
        <w:t xml:space="preserve">best </w:t>
      </w:r>
      <w:r w:rsidR="002F741A">
        <w:t xml:space="preserve">the organization’s </w:t>
      </w:r>
      <w:r w:rsidR="004F6C12">
        <w:t>current state</w:t>
      </w:r>
      <w:r w:rsidR="002F741A">
        <w:t xml:space="preserve"> since it can capture current year versus the public data set used here which is FY2012. </w:t>
      </w:r>
    </w:p>
    <w:p w:rsidR="00444388" w:rsidRDefault="000E32E3" w:rsidP="003C0BC8">
      <w:pPr>
        <w:spacing w:line="480" w:lineRule="auto"/>
        <w:ind w:firstLine="450"/>
      </w:pPr>
      <w:r>
        <w:t xml:space="preserve">The study is susceptible to the bias of reducing problems into simple constructs. </w:t>
      </w:r>
      <w:r w:rsidR="00DA7BC7">
        <w:t xml:space="preserve">Many factors play a role in </w:t>
      </w:r>
      <w:r w:rsidR="00190BB0">
        <w:t>Medicare spending/reimbursement</w:t>
      </w:r>
      <w:r w:rsidR="00DA7BC7">
        <w:t xml:space="preserve">. </w:t>
      </w:r>
      <w:r w:rsidR="00190BB0">
        <w:t xml:space="preserve">The study only considered penalties but there are new programs that Medicare had been introducing like the Medicare Shared Savings Program </w:t>
      </w:r>
      <w:r w:rsidR="006319AF">
        <w:t xml:space="preserve">(CMS.gov) </w:t>
      </w:r>
      <w:r w:rsidR="00190BB0">
        <w:t xml:space="preserve">that incentivizes the provider versus penalizing them. </w:t>
      </w:r>
      <w:r w:rsidR="006319AF">
        <w:t>The implementation of this program commenced for FY2012, but CMS has not yet released any public data sets. A good extension to the study would be to include incentive amounts to determine the expected value.</w:t>
      </w:r>
      <w:r w:rsidR="00190BB0">
        <w:t xml:space="preserve"> </w:t>
      </w:r>
    </w:p>
    <w:p w:rsidR="00033A5C" w:rsidRDefault="00033A5C" w:rsidP="00033A5C">
      <w:pPr>
        <w:numPr>
          <w:ilvl w:val="0"/>
          <w:numId w:val="4"/>
        </w:numPr>
        <w:spacing w:line="480" w:lineRule="auto"/>
        <w:ind w:left="450" w:hanging="450"/>
        <w:outlineLvl w:val="0"/>
        <w:rPr>
          <w:b/>
        </w:rPr>
      </w:pPr>
      <w:r>
        <w:rPr>
          <w:b/>
        </w:rPr>
        <w:t>Conclusion</w:t>
      </w:r>
    </w:p>
    <w:p w:rsidR="008427D7" w:rsidRPr="00BE524E" w:rsidRDefault="00BE524E" w:rsidP="00BE524E">
      <w:pPr>
        <w:spacing w:line="480" w:lineRule="auto"/>
        <w:ind w:firstLine="450"/>
      </w:pPr>
      <w:r>
        <w:t xml:space="preserve">The model has demonstrated the sequence of how the programs can be implemented. One good approach for the healthcare organization is to reevaluate the model and redo the analysis close to the end of the first program </w:t>
      </w:r>
      <w:r w:rsidR="005368D3">
        <w:t xml:space="preserve">implementation </w:t>
      </w:r>
      <w:r>
        <w:t xml:space="preserve">to see if new information would change the sequence of the </w:t>
      </w:r>
      <w:r w:rsidR="005368D3">
        <w:t>succeeding</w:t>
      </w:r>
      <w:r>
        <w:t xml:space="preserve"> four.</w:t>
      </w:r>
    </w:p>
    <w:p w:rsidR="00033A5C" w:rsidRPr="00081EC8" w:rsidRDefault="00033A5C" w:rsidP="003C0BC8">
      <w:pPr>
        <w:spacing w:line="480" w:lineRule="auto"/>
        <w:ind w:firstLine="450"/>
      </w:pPr>
    </w:p>
    <w:p w:rsidR="003A7E5E" w:rsidRPr="00A16DA6" w:rsidRDefault="00600441" w:rsidP="00C87CEB">
      <w:pPr>
        <w:pageBreakBefore/>
        <w:spacing w:line="480" w:lineRule="auto"/>
        <w:outlineLvl w:val="0"/>
        <w:rPr>
          <w:b/>
        </w:rPr>
      </w:pPr>
      <w:r>
        <w:rPr>
          <w:b/>
        </w:rPr>
        <w:lastRenderedPageBreak/>
        <w:t>Appendix A: References</w:t>
      </w:r>
    </w:p>
    <w:p w:rsidR="00AD2095" w:rsidRDefault="00AD2095" w:rsidP="00AD2095">
      <w:pPr>
        <w:rPr>
          <w:rStyle w:val="Hyperlink"/>
          <w:color w:val="auto"/>
          <w:u w:val="none"/>
        </w:rPr>
      </w:pPr>
      <w:r w:rsidRPr="009B7893">
        <w:t xml:space="preserve">Bipartisan Policy Center (BPC). (2012, Sep). What Is Driving U.S. Health Care Spending? America’s Unsustainable Health Care Cost Growth. Retrieved from </w:t>
      </w:r>
      <w:hyperlink r:id="rId16" w:history="1">
        <w:r w:rsidRPr="009B7893">
          <w:rPr>
            <w:rStyle w:val="Hyperlink"/>
            <w:color w:val="auto"/>
            <w:u w:val="none"/>
          </w:rPr>
          <w:t>http://bipartisanpolicy.org/sites/default/files/BPC%20Health%20Care%20Cost%20Drivers%20Brief%20Sept%202012.pdf</w:t>
        </w:r>
      </w:hyperlink>
    </w:p>
    <w:p w:rsidR="00AD2095" w:rsidRDefault="00AD2095" w:rsidP="00AD2095"/>
    <w:p w:rsidR="00AD2095" w:rsidRPr="009A4A58" w:rsidRDefault="00AD2095" w:rsidP="00AD2095">
      <w:r w:rsidRPr="009A4A58">
        <w:t xml:space="preserve">Brown, Bobbi. (2014). A Best Way to Manage a CMS Hospital Readmission Reduction Program. Retrieved from </w:t>
      </w:r>
      <w:hyperlink r:id="rId17" w:history="1">
        <w:r w:rsidRPr="009A4A58">
          <w:rPr>
            <w:rStyle w:val="Hyperlink"/>
            <w:color w:val="auto"/>
            <w:u w:val="none"/>
          </w:rPr>
          <w:t>https://www.healthcatalyst.com/healthcare-data-warehouse-hospital-readmissions-reduction</w:t>
        </w:r>
      </w:hyperlink>
    </w:p>
    <w:p w:rsidR="00AD2095" w:rsidRDefault="00AD2095" w:rsidP="00AD018D"/>
    <w:p w:rsidR="003A7E5E" w:rsidRDefault="003A7E5E" w:rsidP="00AD018D">
      <w:r w:rsidRPr="00AD018D">
        <w:t xml:space="preserve">Centers for Medicare and Medicaid Services. (n.d.). Readmissions Reduction Program. Retrieved from </w:t>
      </w:r>
      <w:hyperlink r:id="rId18" w:history="1">
        <w:r w:rsidR="00B12D80" w:rsidRPr="00AD018D">
          <w:rPr>
            <w:rStyle w:val="Hyperlink"/>
            <w:color w:val="auto"/>
            <w:u w:val="none"/>
          </w:rPr>
          <w:t>http://www.cms.gov/Medicare/Medicare-Fee-for-Service-Payment/AcuteInpatientPPS/Readmissions-Reduction-Program.html</w:t>
        </w:r>
      </w:hyperlink>
    </w:p>
    <w:p w:rsidR="0044187F" w:rsidRDefault="0044187F" w:rsidP="00AD018D"/>
    <w:p w:rsidR="00B12D80" w:rsidRDefault="00BE0448" w:rsidP="009A4A58">
      <w:pPr>
        <w:rPr>
          <w:rStyle w:val="Hyperlink"/>
          <w:color w:val="auto"/>
          <w:u w:val="none"/>
        </w:rPr>
      </w:pPr>
      <w:r w:rsidRPr="009A654C">
        <w:t xml:space="preserve">Centers for Medicare and Medicaid Services. (2012). Chronic Conditions among Medicare Beneficiaries, Chartbook, 2012 Edition. Baltimore, MD. Retrieved from </w:t>
      </w:r>
      <w:hyperlink r:id="rId19" w:history="1">
        <w:r w:rsidR="009A654C" w:rsidRPr="009A654C">
          <w:rPr>
            <w:rStyle w:val="Hyperlink"/>
            <w:color w:val="auto"/>
            <w:u w:val="none"/>
          </w:rPr>
          <w:t>http://www.cms.gov/Research-Statistics-Data-and-Systems/Statistics-Trends-and-Reports/Chronic-Conditions/Downloads/2012Chartbook.pdf</w:t>
        </w:r>
      </w:hyperlink>
    </w:p>
    <w:p w:rsidR="00AD2095" w:rsidRDefault="00AD2095" w:rsidP="009A4A58">
      <w:pPr>
        <w:rPr>
          <w:rStyle w:val="Hyperlink"/>
          <w:color w:val="auto"/>
          <w:u w:val="none"/>
        </w:rPr>
      </w:pPr>
    </w:p>
    <w:p w:rsidR="00AD2095" w:rsidRPr="00B63088" w:rsidRDefault="00AD2095" w:rsidP="00AD2095">
      <w:r w:rsidRPr="00B63088">
        <w:t xml:space="preserve">CMS.gov. (2014). Chronic Conditions. Retrieved from </w:t>
      </w:r>
      <w:hyperlink r:id="rId20" w:history="1">
        <w:r w:rsidR="00B63088" w:rsidRPr="00B63088">
          <w:rPr>
            <w:rStyle w:val="Hyperlink"/>
            <w:color w:val="auto"/>
            <w:u w:val="none"/>
          </w:rPr>
          <w:t>http://www.cms.gov/Research-Statistics-Data-and-Systems/Statistics-Trends-and-Reports/Chronic-Conditions/CC_Main.html</w:t>
        </w:r>
      </w:hyperlink>
    </w:p>
    <w:p w:rsidR="00B63088" w:rsidRDefault="00B63088" w:rsidP="00AD2095"/>
    <w:p w:rsidR="00B63088" w:rsidRPr="00AD018D" w:rsidRDefault="00B63088" w:rsidP="00AD2095">
      <w:r w:rsidRPr="00B63088">
        <w:t>CMS.gov. (</w:t>
      </w:r>
      <w:r w:rsidRPr="0044187F">
        <w:t>2014</w:t>
      </w:r>
      <w:r w:rsidRPr="00B63088">
        <w:t>). Shared Savings Program. Retrieved from https://www.cms.gov/Medicare/Medicare-Fee-for-Service-Payment/sharedsavingsprogram/index.html?redirect=/sharedsavingsprogram/</w:t>
      </w:r>
    </w:p>
    <w:p w:rsidR="009A654C" w:rsidRDefault="009A654C" w:rsidP="009A4A58"/>
    <w:p w:rsidR="009A654C" w:rsidRPr="009B7893" w:rsidRDefault="009A654C" w:rsidP="009A4A58">
      <w:r w:rsidRPr="009B7893">
        <w:t xml:space="preserve">World </w:t>
      </w:r>
      <w:r w:rsidR="00A127C3" w:rsidRPr="009B7893">
        <w:t>Health</w:t>
      </w:r>
      <w:r w:rsidRPr="009B7893">
        <w:t xml:space="preserve"> Organization. (2014). Noncommunicable diseases. Retrieved from </w:t>
      </w:r>
      <w:hyperlink r:id="rId21" w:history="1">
        <w:r w:rsidR="009B7893" w:rsidRPr="009B7893">
          <w:rPr>
            <w:rStyle w:val="Hyperlink"/>
            <w:color w:val="auto"/>
            <w:u w:val="none"/>
          </w:rPr>
          <w:t>http://www.who.int/topics/noncommunicable_diseases/en/</w:t>
        </w:r>
      </w:hyperlink>
    </w:p>
    <w:p w:rsidR="009B7893" w:rsidRDefault="009B7893" w:rsidP="009A4A58"/>
    <w:p w:rsidR="00600441" w:rsidRPr="00A16DA6" w:rsidRDefault="00600441" w:rsidP="00600441">
      <w:pPr>
        <w:spacing w:line="480" w:lineRule="auto"/>
        <w:outlineLvl w:val="0"/>
        <w:rPr>
          <w:b/>
        </w:rPr>
      </w:pPr>
      <w:r>
        <w:rPr>
          <w:b/>
        </w:rPr>
        <w:t>Appendix B: Public DataSets</w:t>
      </w:r>
    </w:p>
    <w:p w:rsidR="003D6487" w:rsidRPr="00645B8A" w:rsidRDefault="00645B8A" w:rsidP="00600441">
      <w:pPr>
        <w:rPr>
          <w:b/>
        </w:rPr>
      </w:pPr>
      <w:r w:rsidRPr="00645B8A">
        <w:rPr>
          <w:b/>
        </w:rPr>
        <w:t>Prevalence</w:t>
      </w:r>
      <w:r>
        <w:rPr>
          <w:b/>
        </w:rPr>
        <w:t>, readmissions</w:t>
      </w:r>
      <w:r w:rsidRPr="00645B8A">
        <w:rPr>
          <w:b/>
        </w:rPr>
        <w:t xml:space="preserve"> rate and per capita spending</w:t>
      </w:r>
    </w:p>
    <w:p w:rsidR="00600441" w:rsidRDefault="00600441" w:rsidP="00600441">
      <w:r>
        <w:t>CMS.gov. (2014, Sep). Chronic Conditions. Retrieved from http://www.cms.gov/Research-Statistics-Data-and-Systems/Statistics-Trends-and-Reports/Chronic-Conditions/CC_Main.html</w:t>
      </w:r>
    </w:p>
    <w:p w:rsidR="00600441" w:rsidRDefault="00600441" w:rsidP="00091D46">
      <w:pPr>
        <w:ind w:left="720"/>
      </w:pPr>
      <w:r>
        <w:t>Utilization/Spending State Level: All Beneficiaries, 2008-2012 [ZIP, 553KB]. Utiliz_Spend_2012.xlsx</w:t>
      </w:r>
    </w:p>
    <w:p w:rsidR="00600441" w:rsidRDefault="00600441" w:rsidP="00091D46">
      <w:pPr>
        <w:ind w:left="720"/>
      </w:pPr>
      <w:r>
        <w:t>Prevalence HRR Level: All Beneficiaries by Age, 2008-2012 [ZIP, 1MB]. HRR_Table_Chronic_Conds_Prevalence_by_Age_2012.xlsx</w:t>
      </w:r>
    </w:p>
    <w:p w:rsidR="00600441" w:rsidRDefault="00600441" w:rsidP="00600441"/>
    <w:p w:rsidR="00645B8A" w:rsidRPr="002D093B" w:rsidRDefault="00645B8A" w:rsidP="00600441">
      <w:pPr>
        <w:rPr>
          <w:b/>
        </w:rPr>
      </w:pPr>
      <w:r w:rsidRPr="002D093B">
        <w:rPr>
          <w:b/>
        </w:rPr>
        <w:t>Readmission cost</w:t>
      </w:r>
    </w:p>
    <w:p w:rsidR="00600441" w:rsidRPr="0043797D" w:rsidRDefault="00600441" w:rsidP="00600441">
      <w:r w:rsidRPr="0043797D">
        <w:t>Healthcare Cost and Utilization Project (HCUP). (2014). Hospital Readmissions. Readmission Summary Tables.</w:t>
      </w:r>
    </w:p>
    <w:p w:rsidR="009B7893" w:rsidRDefault="00600441" w:rsidP="00600441">
      <w:pPr>
        <w:rPr>
          <w:rStyle w:val="Hyperlink"/>
          <w:color w:val="auto"/>
          <w:u w:val="none"/>
        </w:rPr>
      </w:pPr>
      <w:r w:rsidRPr="0043797D">
        <w:t xml:space="preserve">Retrieved from </w:t>
      </w:r>
      <w:hyperlink r:id="rId22" w:history="1">
        <w:r w:rsidR="0043797D" w:rsidRPr="0043797D">
          <w:rPr>
            <w:rStyle w:val="Hyperlink"/>
            <w:color w:val="auto"/>
            <w:u w:val="none"/>
          </w:rPr>
          <w:t>http://hcupnet.ahrq.gov/HCUPnet.jsp?Id=27B850D0C231FC58&amp;Form=SelDXPR&amp;JS=Y&amp;Action=%3E%3ENext%3E%3E&amp;_DXPR=DCCHPR1</w:t>
        </w:r>
      </w:hyperlink>
    </w:p>
    <w:p w:rsidR="009761DD" w:rsidRDefault="009761DD" w:rsidP="00600441">
      <w:pPr>
        <w:rPr>
          <w:rStyle w:val="Hyperlink"/>
          <w:color w:val="auto"/>
          <w:u w:val="none"/>
        </w:rPr>
      </w:pPr>
    </w:p>
    <w:p w:rsidR="002D093B" w:rsidRPr="002D093B" w:rsidRDefault="002D093B" w:rsidP="00600441">
      <w:pPr>
        <w:rPr>
          <w:rStyle w:val="Hyperlink"/>
          <w:b/>
          <w:color w:val="auto"/>
          <w:u w:val="none"/>
        </w:rPr>
      </w:pPr>
      <w:r w:rsidRPr="002D093B">
        <w:rPr>
          <w:rStyle w:val="Hyperlink"/>
          <w:b/>
          <w:color w:val="auto"/>
          <w:u w:val="none"/>
        </w:rPr>
        <w:t>Hospital penalties</w:t>
      </w:r>
    </w:p>
    <w:p w:rsidR="009761DD" w:rsidRPr="0043797D" w:rsidRDefault="009761DD" w:rsidP="009761DD">
      <w:r>
        <w:t>Kaiser Health News (KHN). 2012, Oct 2). Medicare Readmission Penalties by Hospital (September Update).</w:t>
      </w:r>
      <w:r w:rsidR="00086E9E">
        <w:t xml:space="preserve"> </w:t>
      </w:r>
      <w:r>
        <w:t>Retrieved from http://kaiserhealthnews.org/news/medicare-revises-hospitals-readmissions-penalties/</w:t>
      </w:r>
    </w:p>
    <w:p w:rsidR="0043797D" w:rsidRDefault="0043797D" w:rsidP="00600441"/>
    <w:p w:rsidR="0043797D" w:rsidRPr="00A16DA6" w:rsidRDefault="0043797D" w:rsidP="0043797D">
      <w:pPr>
        <w:spacing w:line="480" w:lineRule="auto"/>
        <w:outlineLvl w:val="0"/>
        <w:rPr>
          <w:b/>
        </w:rPr>
      </w:pPr>
      <w:r>
        <w:rPr>
          <w:b/>
        </w:rPr>
        <w:t>Appendix C: Decision Tree</w:t>
      </w:r>
    </w:p>
    <w:p w:rsidR="0043797D" w:rsidRPr="0010204F" w:rsidRDefault="00CC3743" w:rsidP="00600441">
      <w:r>
        <w:object w:dxaOrig="1513"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23" o:title=""/>
          </v:shape>
          <o:OLEObject Type="Embed" ProgID="Excel.Sheet.8" ShapeID="_x0000_i1025" DrawAspect="Icon" ObjectID="_1594098922" r:id="rId24"/>
        </w:object>
      </w:r>
    </w:p>
    <w:sectPr w:rsidR="0043797D" w:rsidRPr="0010204F" w:rsidSect="00E465E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neral GG 330">
    <w:altName w:val="General GG 330"/>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3FA34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5CF200B"/>
    <w:multiLevelType w:val="multilevel"/>
    <w:tmpl w:val="F0208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9559A"/>
    <w:multiLevelType w:val="hybridMultilevel"/>
    <w:tmpl w:val="BE78B728"/>
    <w:lvl w:ilvl="0" w:tplc="5288B622">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559197D"/>
    <w:multiLevelType w:val="hybridMultilevel"/>
    <w:tmpl w:val="A1D0367C"/>
    <w:lvl w:ilvl="0" w:tplc="28A8F918">
      <w:start w:val="1"/>
      <w:numFmt w:val="upp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C43FCA"/>
    <w:multiLevelType w:val="hybridMultilevel"/>
    <w:tmpl w:val="9604872A"/>
    <w:lvl w:ilvl="0" w:tplc="11900100">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02D7C"/>
    <w:multiLevelType w:val="hybridMultilevel"/>
    <w:tmpl w:val="A8D6B4A4"/>
    <w:lvl w:ilvl="0" w:tplc="3EAA86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21F4E69"/>
    <w:multiLevelType w:val="hybridMultilevel"/>
    <w:tmpl w:val="56B49A4E"/>
    <w:lvl w:ilvl="0" w:tplc="6E32E1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088"/>
    <w:rsid w:val="00000438"/>
    <w:rsid w:val="00002E64"/>
    <w:rsid w:val="00010876"/>
    <w:rsid w:val="00012FA4"/>
    <w:rsid w:val="0001599C"/>
    <w:rsid w:val="00021C1F"/>
    <w:rsid w:val="00022779"/>
    <w:rsid w:val="00023D21"/>
    <w:rsid w:val="000316A6"/>
    <w:rsid w:val="00032B34"/>
    <w:rsid w:val="00033A5C"/>
    <w:rsid w:val="00036FD6"/>
    <w:rsid w:val="00042389"/>
    <w:rsid w:val="000510DE"/>
    <w:rsid w:val="00052859"/>
    <w:rsid w:val="00060A82"/>
    <w:rsid w:val="00062815"/>
    <w:rsid w:val="000657DA"/>
    <w:rsid w:val="00065E69"/>
    <w:rsid w:val="00074531"/>
    <w:rsid w:val="00074E63"/>
    <w:rsid w:val="00076257"/>
    <w:rsid w:val="000813AF"/>
    <w:rsid w:val="000813FC"/>
    <w:rsid w:val="00081C63"/>
    <w:rsid w:val="00081EC8"/>
    <w:rsid w:val="00083D61"/>
    <w:rsid w:val="00084470"/>
    <w:rsid w:val="00086E9E"/>
    <w:rsid w:val="00091D46"/>
    <w:rsid w:val="00096A71"/>
    <w:rsid w:val="00096C62"/>
    <w:rsid w:val="000A60A3"/>
    <w:rsid w:val="000A6F01"/>
    <w:rsid w:val="000B381B"/>
    <w:rsid w:val="000B421B"/>
    <w:rsid w:val="000C59C8"/>
    <w:rsid w:val="000C67A1"/>
    <w:rsid w:val="000D0FE3"/>
    <w:rsid w:val="000D4F8C"/>
    <w:rsid w:val="000D5113"/>
    <w:rsid w:val="000D612F"/>
    <w:rsid w:val="000E0B1A"/>
    <w:rsid w:val="000E32E3"/>
    <w:rsid w:val="000F10E5"/>
    <w:rsid w:val="00101F01"/>
    <w:rsid w:val="0010204F"/>
    <w:rsid w:val="001032A4"/>
    <w:rsid w:val="00104967"/>
    <w:rsid w:val="0010660D"/>
    <w:rsid w:val="0010670C"/>
    <w:rsid w:val="00111797"/>
    <w:rsid w:val="001122E1"/>
    <w:rsid w:val="0012778A"/>
    <w:rsid w:val="001278D5"/>
    <w:rsid w:val="00131468"/>
    <w:rsid w:val="00134D67"/>
    <w:rsid w:val="00134DD3"/>
    <w:rsid w:val="00135028"/>
    <w:rsid w:val="00136787"/>
    <w:rsid w:val="00137385"/>
    <w:rsid w:val="00141C19"/>
    <w:rsid w:val="001529E7"/>
    <w:rsid w:val="00157AC2"/>
    <w:rsid w:val="0016000E"/>
    <w:rsid w:val="00164115"/>
    <w:rsid w:val="001700A9"/>
    <w:rsid w:val="00170A2D"/>
    <w:rsid w:val="00176D06"/>
    <w:rsid w:val="00180551"/>
    <w:rsid w:val="00184D4E"/>
    <w:rsid w:val="00184FB4"/>
    <w:rsid w:val="00186C25"/>
    <w:rsid w:val="001877B6"/>
    <w:rsid w:val="00190BB0"/>
    <w:rsid w:val="001925A8"/>
    <w:rsid w:val="001944A5"/>
    <w:rsid w:val="001969F5"/>
    <w:rsid w:val="001A1618"/>
    <w:rsid w:val="001A632E"/>
    <w:rsid w:val="001B0163"/>
    <w:rsid w:val="001B3871"/>
    <w:rsid w:val="001B6975"/>
    <w:rsid w:val="001C11E8"/>
    <w:rsid w:val="001C1500"/>
    <w:rsid w:val="001C16A7"/>
    <w:rsid w:val="001C47A7"/>
    <w:rsid w:val="001C62C3"/>
    <w:rsid w:val="001D3A0A"/>
    <w:rsid w:val="001D59F8"/>
    <w:rsid w:val="001D63AA"/>
    <w:rsid w:val="001E1F8D"/>
    <w:rsid w:val="001E3877"/>
    <w:rsid w:val="001E7FFB"/>
    <w:rsid w:val="001F22E4"/>
    <w:rsid w:val="001F3200"/>
    <w:rsid w:val="001F777F"/>
    <w:rsid w:val="002018CD"/>
    <w:rsid w:val="00203437"/>
    <w:rsid w:val="002042C3"/>
    <w:rsid w:val="0021082F"/>
    <w:rsid w:val="00211D04"/>
    <w:rsid w:val="002168F4"/>
    <w:rsid w:val="00220D22"/>
    <w:rsid w:val="0022538F"/>
    <w:rsid w:val="002336A4"/>
    <w:rsid w:val="00237329"/>
    <w:rsid w:val="00237B74"/>
    <w:rsid w:val="002406CC"/>
    <w:rsid w:val="00240897"/>
    <w:rsid w:val="0024153F"/>
    <w:rsid w:val="002420F2"/>
    <w:rsid w:val="00243405"/>
    <w:rsid w:val="002444A3"/>
    <w:rsid w:val="00245B8E"/>
    <w:rsid w:val="00256BDD"/>
    <w:rsid w:val="00274122"/>
    <w:rsid w:val="00276782"/>
    <w:rsid w:val="002828A2"/>
    <w:rsid w:val="00282A9F"/>
    <w:rsid w:val="00284042"/>
    <w:rsid w:val="002863E1"/>
    <w:rsid w:val="00290E01"/>
    <w:rsid w:val="002961E6"/>
    <w:rsid w:val="002A0824"/>
    <w:rsid w:val="002A0C30"/>
    <w:rsid w:val="002A0F47"/>
    <w:rsid w:val="002A110C"/>
    <w:rsid w:val="002A45A2"/>
    <w:rsid w:val="002C0684"/>
    <w:rsid w:val="002C53B4"/>
    <w:rsid w:val="002D093B"/>
    <w:rsid w:val="002D1C96"/>
    <w:rsid w:val="002D5D23"/>
    <w:rsid w:val="002E0166"/>
    <w:rsid w:val="002F5E04"/>
    <w:rsid w:val="002F741A"/>
    <w:rsid w:val="002F7BC8"/>
    <w:rsid w:val="0030174F"/>
    <w:rsid w:val="00302955"/>
    <w:rsid w:val="003051DF"/>
    <w:rsid w:val="0030588E"/>
    <w:rsid w:val="003122FF"/>
    <w:rsid w:val="00312AD1"/>
    <w:rsid w:val="00320819"/>
    <w:rsid w:val="003213ED"/>
    <w:rsid w:val="00323E24"/>
    <w:rsid w:val="0032661A"/>
    <w:rsid w:val="00332880"/>
    <w:rsid w:val="003342A6"/>
    <w:rsid w:val="00343E8D"/>
    <w:rsid w:val="00344A91"/>
    <w:rsid w:val="00350BBD"/>
    <w:rsid w:val="0035343E"/>
    <w:rsid w:val="0035444A"/>
    <w:rsid w:val="003545FA"/>
    <w:rsid w:val="00356B38"/>
    <w:rsid w:val="003620D8"/>
    <w:rsid w:val="003705DB"/>
    <w:rsid w:val="003820ED"/>
    <w:rsid w:val="00383962"/>
    <w:rsid w:val="00390976"/>
    <w:rsid w:val="003A0E64"/>
    <w:rsid w:val="003A5FA8"/>
    <w:rsid w:val="003A6467"/>
    <w:rsid w:val="003A7E5E"/>
    <w:rsid w:val="003B02D8"/>
    <w:rsid w:val="003B145C"/>
    <w:rsid w:val="003B1F75"/>
    <w:rsid w:val="003B473B"/>
    <w:rsid w:val="003B629B"/>
    <w:rsid w:val="003C0BC8"/>
    <w:rsid w:val="003C588D"/>
    <w:rsid w:val="003C68C8"/>
    <w:rsid w:val="003C782A"/>
    <w:rsid w:val="003D07A1"/>
    <w:rsid w:val="003D1EA1"/>
    <w:rsid w:val="003D31F8"/>
    <w:rsid w:val="003D6487"/>
    <w:rsid w:val="003D6CA2"/>
    <w:rsid w:val="003E567D"/>
    <w:rsid w:val="003E6BDA"/>
    <w:rsid w:val="003F0C85"/>
    <w:rsid w:val="003F1B87"/>
    <w:rsid w:val="004024F0"/>
    <w:rsid w:val="0040448E"/>
    <w:rsid w:val="00407D97"/>
    <w:rsid w:val="00415FF4"/>
    <w:rsid w:val="00425CE9"/>
    <w:rsid w:val="00426AF3"/>
    <w:rsid w:val="0043497C"/>
    <w:rsid w:val="004369E5"/>
    <w:rsid w:val="0043797D"/>
    <w:rsid w:val="0044187F"/>
    <w:rsid w:val="00443087"/>
    <w:rsid w:val="004430CD"/>
    <w:rsid w:val="00444388"/>
    <w:rsid w:val="00445255"/>
    <w:rsid w:val="004463CF"/>
    <w:rsid w:val="004469E4"/>
    <w:rsid w:val="00446E39"/>
    <w:rsid w:val="00447A03"/>
    <w:rsid w:val="00450800"/>
    <w:rsid w:val="00451AF6"/>
    <w:rsid w:val="00454D14"/>
    <w:rsid w:val="00460801"/>
    <w:rsid w:val="004609C0"/>
    <w:rsid w:val="0046508E"/>
    <w:rsid w:val="00465470"/>
    <w:rsid w:val="00465714"/>
    <w:rsid w:val="004740FC"/>
    <w:rsid w:val="00475825"/>
    <w:rsid w:val="00475D46"/>
    <w:rsid w:val="00480257"/>
    <w:rsid w:val="004876A6"/>
    <w:rsid w:val="0049391F"/>
    <w:rsid w:val="004A2D16"/>
    <w:rsid w:val="004A4DE5"/>
    <w:rsid w:val="004A7335"/>
    <w:rsid w:val="004B09EC"/>
    <w:rsid w:val="004B3C44"/>
    <w:rsid w:val="004B72FD"/>
    <w:rsid w:val="004C3F71"/>
    <w:rsid w:val="004C7A9A"/>
    <w:rsid w:val="004E46A7"/>
    <w:rsid w:val="004E6F19"/>
    <w:rsid w:val="004F2E9D"/>
    <w:rsid w:val="004F3F5D"/>
    <w:rsid w:val="004F4545"/>
    <w:rsid w:val="004F6C12"/>
    <w:rsid w:val="00500436"/>
    <w:rsid w:val="00501769"/>
    <w:rsid w:val="00504DCB"/>
    <w:rsid w:val="00521162"/>
    <w:rsid w:val="00524196"/>
    <w:rsid w:val="005279B8"/>
    <w:rsid w:val="005353E8"/>
    <w:rsid w:val="005364B6"/>
    <w:rsid w:val="005368D3"/>
    <w:rsid w:val="005405FF"/>
    <w:rsid w:val="005409BF"/>
    <w:rsid w:val="005414C2"/>
    <w:rsid w:val="005422E0"/>
    <w:rsid w:val="0054302A"/>
    <w:rsid w:val="0054390C"/>
    <w:rsid w:val="00555528"/>
    <w:rsid w:val="00560313"/>
    <w:rsid w:val="005637FF"/>
    <w:rsid w:val="0056394D"/>
    <w:rsid w:val="00567EE3"/>
    <w:rsid w:val="00570A3C"/>
    <w:rsid w:val="00575681"/>
    <w:rsid w:val="00580440"/>
    <w:rsid w:val="00580FC2"/>
    <w:rsid w:val="005810C6"/>
    <w:rsid w:val="0058538A"/>
    <w:rsid w:val="00585BF1"/>
    <w:rsid w:val="005931C1"/>
    <w:rsid w:val="00596A11"/>
    <w:rsid w:val="00597AF0"/>
    <w:rsid w:val="005A4F57"/>
    <w:rsid w:val="005A50AD"/>
    <w:rsid w:val="005A527C"/>
    <w:rsid w:val="005B03B3"/>
    <w:rsid w:val="005C5A03"/>
    <w:rsid w:val="005C747A"/>
    <w:rsid w:val="005D0BBA"/>
    <w:rsid w:val="005D4244"/>
    <w:rsid w:val="005E03A9"/>
    <w:rsid w:val="005E33EB"/>
    <w:rsid w:val="005E6197"/>
    <w:rsid w:val="005F7CBE"/>
    <w:rsid w:val="00600441"/>
    <w:rsid w:val="00613293"/>
    <w:rsid w:val="00613BDC"/>
    <w:rsid w:val="00627BF5"/>
    <w:rsid w:val="006319AF"/>
    <w:rsid w:val="006350BA"/>
    <w:rsid w:val="00637AAB"/>
    <w:rsid w:val="00642FDF"/>
    <w:rsid w:val="00643138"/>
    <w:rsid w:val="0064388E"/>
    <w:rsid w:val="00645B8A"/>
    <w:rsid w:val="0064687F"/>
    <w:rsid w:val="0065008A"/>
    <w:rsid w:val="0065367C"/>
    <w:rsid w:val="006629C1"/>
    <w:rsid w:val="00663483"/>
    <w:rsid w:val="006647B5"/>
    <w:rsid w:val="0066531F"/>
    <w:rsid w:val="006659FD"/>
    <w:rsid w:val="006706F4"/>
    <w:rsid w:val="00683786"/>
    <w:rsid w:val="00684AE6"/>
    <w:rsid w:val="00690CFD"/>
    <w:rsid w:val="00693EB6"/>
    <w:rsid w:val="006976CD"/>
    <w:rsid w:val="006A541D"/>
    <w:rsid w:val="006A72F1"/>
    <w:rsid w:val="006B2A59"/>
    <w:rsid w:val="006C181E"/>
    <w:rsid w:val="006E5B7B"/>
    <w:rsid w:val="006E73B0"/>
    <w:rsid w:val="006F00C4"/>
    <w:rsid w:val="006F2802"/>
    <w:rsid w:val="006F30A4"/>
    <w:rsid w:val="006F321F"/>
    <w:rsid w:val="006F352B"/>
    <w:rsid w:val="00700A98"/>
    <w:rsid w:val="0070209B"/>
    <w:rsid w:val="00705313"/>
    <w:rsid w:val="00711DB2"/>
    <w:rsid w:val="007130B6"/>
    <w:rsid w:val="007169C4"/>
    <w:rsid w:val="00716BCE"/>
    <w:rsid w:val="007210E3"/>
    <w:rsid w:val="00731E97"/>
    <w:rsid w:val="00732023"/>
    <w:rsid w:val="00732B17"/>
    <w:rsid w:val="00734F19"/>
    <w:rsid w:val="00746C14"/>
    <w:rsid w:val="00752042"/>
    <w:rsid w:val="0075286C"/>
    <w:rsid w:val="00763D3C"/>
    <w:rsid w:val="007645D2"/>
    <w:rsid w:val="0076534B"/>
    <w:rsid w:val="007704F0"/>
    <w:rsid w:val="00771867"/>
    <w:rsid w:val="00777F50"/>
    <w:rsid w:val="007863FA"/>
    <w:rsid w:val="00790349"/>
    <w:rsid w:val="00791184"/>
    <w:rsid w:val="00791AD7"/>
    <w:rsid w:val="00791F19"/>
    <w:rsid w:val="00792560"/>
    <w:rsid w:val="00794814"/>
    <w:rsid w:val="007A1099"/>
    <w:rsid w:val="007A3AB9"/>
    <w:rsid w:val="007A4188"/>
    <w:rsid w:val="007A427D"/>
    <w:rsid w:val="007A4824"/>
    <w:rsid w:val="007A64DC"/>
    <w:rsid w:val="007A7C24"/>
    <w:rsid w:val="007B0CA6"/>
    <w:rsid w:val="007B1ED0"/>
    <w:rsid w:val="007C025A"/>
    <w:rsid w:val="007C224A"/>
    <w:rsid w:val="007D1014"/>
    <w:rsid w:val="007D23E7"/>
    <w:rsid w:val="007D610F"/>
    <w:rsid w:val="007D6284"/>
    <w:rsid w:val="007E5F1A"/>
    <w:rsid w:val="007E6550"/>
    <w:rsid w:val="007E7333"/>
    <w:rsid w:val="007F0863"/>
    <w:rsid w:val="007F2735"/>
    <w:rsid w:val="007F63CC"/>
    <w:rsid w:val="008016F9"/>
    <w:rsid w:val="0080568F"/>
    <w:rsid w:val="00807425"/>
    <w:rsid w:val="008144F0"/>
    <w:rsid w:val="00833195"/>
    <w:rsid w:val="0083384A"/>
    <w:rsid w:val="00833C80"/>
    <w:rsid w:val="00834EF0"/>
    <w:rsid w:val="008373A3"/>
    <w:rsid w:val="00837D6A"/>
    <w:rsid w:val="00840B5A"/>
    <w:rsid w:val="008427D7"/>
    <w:rsid w:val="00842935"/>
    <w:rsid w:val="00843B00"/>
    <w:rsid w:val="00844112"/>
    <w:rsid w:val="008443B7"/>
    <w:rsid w:val="008449F9"/>
    <w:rsid w:val="0084512F"/>
    <w:rsid w:val="00852BB2"/>
    <w:rsid w:val="008657AF"/>
    <w:rsid w:val="00867858"/>
    <w:rsid w:val="0087281F"/>
    <w:rsid w:val="00876984"/>
    <w:rsid w:val="00876BD5"/>
    <w:rsid w:val="00877188"/>
    <w:rsid w:val="0088068A"/>
    <w:rsid w:val="008823BD"/>
    <w:rsid w:val="00886241"/>
    <w:rsid w:val="00887F05"/>
    <w:rsid w:val="0089026D"/>
    <w:rsid w:val="008947B6"/>
    <w:rsid w:val="00896915"/>
    <w:rsid w:val="00896D91"/>
    <w:rsid w:val="008A11E8"/>
    <w:rsid w:val="008A1D82"/>
    <w:rsid w:val="008A7131"/>
    <w:rsid w:val="008A7848"/>
    <w:rsid w:val="008B1062"/>
    <w:rsid w:val="008B7DF1"/>
    <w:rsid w:val="008C2FE7"/>
    <w:rsid w:val="008D210A"/>
    <w:rsid w:val="008D3340"/>
    <w:rsid w:val="008D35F6"/>
    <w:rsid w:val="008E0B40"/>
    <w:rsid w:val="008E6A88"/>
    <w:rsid w:val="008F0B45"/>
    <w:rsid w:val="008F3793"/>
    <w:rsid w:val="008F6DC1"/>
    <w:rsid w:val="008F7D39"/>
    <w:rsid w:val="009020A7"/>
    <w:rsid w:val="00903D82"/>
    <w:rsid w:val="00904A8E"/>
    <w:rsid w:val="00906BB1"/>
    <w:rsid w:val="009070D2"/>
    <w:rsid w:val="00911677"/>
    <w:rsid w:val="00911709"/>
    <w:rsid w:val="00922F5E"/>
    <w:rsid w:val="0092650E"/>
    <w:rsid w:val="00931926"/>
    <w:rsid w:val="00931942"/>
    <w:rsid w:val="00943173"/>
    <w:rsid w:val="009538ED"/>
    <w:rsid w:val="00955B5C"/>
    <w:rsid w:val="00955DD3"/>
    <w:rsid w:val="00957869"/>
    <w:rsid w:val="009624BB"/>
    <w:rsid w:val="00966979"/>
    <w:rsid w:val="009761DD"/>
    <w:rsid w:val="009812A5"/>
    <w:rsid w:val="0098135D"/>
    <w:rsid w:val="009846C2"/>
    <w:rsid w:val="009953BD"/>
    <w:rsid w:val="00996D80"/>
    <w:rsid w:val="009A4A58"/>
    <w:rsid w:val="009A654C"/>
    <w:rsid w:val="009A6E6C"/>
    <w:rsid w:val="009B637D"/>
    <w:rsid w:val="009B7893"/>
    <w:rsid w:val="009C29FC"/>
    <w:rsid w:val="009C31EA"/>
    <w:rsid w:val="009D3ECF"/>
    <w:rsid w:val="009D4151"/>
    <w:rsid w:val="009D45BF"/>
    <w:rsid w:val="009D60A1"/>
    <w:rsid w:val="009D6DAD"/>
    <w:rsid w:val="009E240E"/>
    <w:rsid w:val="009E33C3"/>
    <w:rsid w:val="009F3319"/>
    <w:rsid w:val="00A00AF4"/>
    <w:rsid w:val="00A038CA"/>
    <w:rsid w:val="00A12634"/>
    <w:rsid w:val="00A127C3"/>
    <w:rsid w:val="00A13513"/>
    <w:rsid w:val="00A13681"/>
    <w:rsid w:val="00A15CF4"/>
    <w:rsid w:val="00A16DA6"/>
    <w:rsid w:val="00A20519"/>
    <w:rsid w:val="00A207BD"/>
    <w:rsid w:val="00A232B8"/>
    <w:rsid w:val="00A254CB"/>
    <w:rsid w:val="00A32566"/>
    <w:rsid w:val="00A3272E"/>
    <w:rsid w:val="00A34FCC"/>
    <w:rsid w:val="00A36F99"/>
    <w:rsid w:val="00A40674"/>
    <w:rsid w:val="00A45609"/>
    <w:rsid w:val="00A50A7A"/>
    <w:rsid w:val="00A606A4"/>
    <w:rsid w:val="00A65372"/>
    <w:rsid w:val="00A72426"/>
    <w:rsid w:val="00A72BD8"/>
    <w:rsid w:val="00A73DF9"/>
    <w:rsid w:val="00A75029"/>
    <w:rsid w:val="00A75394"/>
    <w:rsid w:val="00A75451"/>
    <w:rsid w:val="00A75B14"/>
    <w:rsid w:val="00A77773"/>
    <w:rsid w:val="00A8092B"/>
    <w:rsid w:val="00A82AE6"/>
    <w:rsid w:val="00A84337"/>
    <w:rsid w:val="00A86521"/>
    <w:rsid w:val="00A86CA1"/>
    <w:rsid w:val="00A87500"/>
    <w:rsid w:val="00A87792"/>
    <w:rsid w:val="00A9515B"/>
    <w:rsid w:val="00A9629A"/>
    <w:rsid w:val="00AB04AB"/>
    <w:rsid w:val="00AB1965"/>
    <w:rsid w:val="00AB4355"/>
    <w:rsid w:val="00AD018D"/>
    <w:rsid w:val="00AD1A56"/>
    <w:rsid w:val="00AD2095"/>
    <w:rsid w:val="00AD2DDE"/>
    <w:rsid w:val="00AD4AB3"/>
    <w:rsid w:val="00AD5F8C"/>
    <w:rsid w:val="00AE349F"/>
    <w:rsid w:val="00AE3FE7"/>
    <w:rsid w:val="00AF30B1"/>
    <w:rsid w:val="00AF31F3"/>
    <w:rsid w:val="00AF60B5"/>
    <w:rsid w:val="00B00662"/>
    <w:rsid w:val="00B019B0"/>
    <w:rsid w:val="00B02969"/>
    <w:rsid w:val="00B03D96"/>
    <w:rsid w:val="00B048AB"/>
    <w:rsid w:val="00B04ADE"/>
    <w:rsid w:val="00B12D80"/>
    <w:rsid w:val="00B15DA2"/>
    <w:rsid w:val="00B24739"/>
    <w:rsid w:val="00B30FF8"/>
    <w:rsid w:val="00B3200E"/>
    <w:rsid w:val="00B3361E"/>
    <w:rsid w:val="00B348CD"/>
    <w:rsid w:val="00B35F6A"/>
    <w:rsid w:val="00B406A5"/>
    <w:rsid w:val="00B41A72"/>
    <w:rsid w:val="00B42EB4"/>
    <w:rsid w:val="00B4584D"/>
    <w:rsid w:val="00B516AC"/>
    <w:rsid w:val="00B522BF"/>
    <w:rsid w:val="00B524DA"/>
    <w:rsid w:val="00B5358B"/>
    <w:rsid w:val="00B5388A"/>
    <w:rsid w:val="00B54088"/>
    <w:rsid w:val="00B56E90"/>
    <w:rsid w:val="00B63088"/>
    <w:rsid w:val="00B66198"/>
    <w:rsid w:val="00B718D4"/>
    <w:rsid w:val="00B71C5D"/>
    <w:rsid w:val="00B73A62"/>
    <w:rsid w:val="00B75480"/>
    <w:rsid w:val="00B777E3"/>
    <w:rsid w:val="00B803E0"/>
    <w:rsid w:val="00B96607"/>
    <w:rsid w:val="00BA058F"/>
    <w:rsid w:val="00BA5324"/>
    <w:rsid w:val="00BB1FA9"/>
    <w:rsid w:val="00BB6D1D"/>
    <w:rsid w:val="00BB6DA2"/>
    <w:rsid w:val="00BB72CA"/>
    <w:rsid w:val="00BC23A5"/>
    <w:rsid w:val="00BC318B"/>
    <w:rsid w:val="00BC5841"/>
    <w:rsid w:val="00BD0EF8"/>
    <w:rsid w:val="00BD7410"/>
    <w:rsid w:val="00BD7C0F"/>
    <w:rsid w:val="00BE0448"/>
    <w:rsid w:val="00BE25F8"/>
    <w:rsid w:val="00BE2D49"/>
    <w:rsid w:val="00BE4BC3"/>
    <w:rsid w:val="00BE524E"/>
    <w:rsid w:val="00BE6919"/>
    <w:rsid w:val="00BF0345"/>
    <w:rsid w:val="00BF21F5"/>
    <w:rsid w:val="00BF4204"/>
    <w:rsid w:val="00BF6F05"/>
    <w:rsid w:val="00C014D1"/>
    <w:rsid w:val="00C0183C"/>
    <w:rsid w:val="00C07AD6"/>
    <w:rsid w:val="00C1154B"/>
    <w:rsid w:val="00C12892"/>
    <w:rsid w:val="00C128EA"/>
    <w:rsid w:val="00C141E0"/>
    <w:rsid w:val="00C15BB7"/>
    <w:rsid w:val="00C15F55"/>
    <w:rsid w:val="00C17A01"/>
    <w:rsid w:val="00C204EA"/>
    <w:rsid w:val="00C210E6"/>
    <w:rsid w:val="00C211E6"/>
    <w:rsid w:val="00C21757"/>
    <w:rsid w:val="00C22268"/>
    <w:rsid w:val="00C22306"/>
    <w:rsid w:val="00C227D6"/>
    <w:rsid w:val="00C24786"/>
    <w:rsid w:val="00C25242"/>
    <w:rsid w:val="00C31E86"/>
    <w:rsid w:val="00C344BD"/>
    <w:rsid w:val="00C407DC"/>
    <w:rsid w:val="00C42414"/>
    <w:rsid w:val="00C533E8"/>
    <w:rsid w:val="00C5378B"/>
    <w:rsid w:val="00C601A5"/>
    <w:rsid w:val="00C62CF6"/>
    <w:rsid w:val="00C7343C"/>
    <w:rsid w:val="00C74787"/>
    <w:rsid w:val="00C7509A"/>
    <w:rsid w:val="00C769B9"/>
    <w:rsid w:val="00C82463"/>
    <w:rsid w:val="00C82900"/>
    <w:rsid w:val="00C85F72"/>
    <w:rsid w:val="00C875D8"/>
    <w:rsid w:val="00C87CEB"/>
    <w:rsid w:val="00C977D2"/>
    <w:rsid w:val="00CA2C4D"/>
    <w:rsid w:val="00CA5576"/>
    <w:rsid w:val="00CA5D03"/>
    <w:rsid w:val="00CB144E"/>
    <w:rsid w:val="00CB4129"/>
    <w:rsid w:val="00CC05D2"/>
    <w:rsid w:val="00CC3743"/>
    <w:rsid w:val="00CC56C1"/>
    <w:rsid w:val="00CC69AA"/>
    <w:rsid w:val="00CD178B"/>
    <w:rsid w:val="00CD1D92"/>
    <w:rsid w:val="00CD2823"/>
    <w:rsid w:val="00CE0D6A"/>
    <w:rsid w:val="00CE7DCF"/>
    <w:rsid w:val="00CF3F25"/>
    <w:rsid w:val="00CF7AC7"/>
    <w:rsid w:val="00D009A2"/>
    <w:rsid w:val="00D045C5"/>
    <w:rsid w:val="00D05FDB"/>
    <w:rsid w:val="00D12D7D"/>
    <w:rsid w:val="00D14D02"/>
    <w:rsid w:val="00D159A1"/>
    <w:rsid w:val="00D201C6"/>
    <w:rsid w:val="00D25B16"/>
    <w:rsid w:val="00D2794C"/>
    <w:rsid w:val="00D31408"/>
    <w:rsid w:val="00D40351"/>
    <w:rsid w:val="00D5542B"/>
    <w:rsid w:val="00D61B83"/>
    <w:rsid w:val="00D62D28"/>
    <w:rsid w:val="00D654BB"/>
    <w:rsid w:val="00D72F52"/>
    <w:rsid w:val="00D739AA"/>
    <w:rsid w:val="00D81EC7"/>
    <w:rsid w:val="00D82CB4"/>
    <w:rsid w:val="00D93262"/>
    <w:rsid w:val="00D95348"/>
    <w:rsid w:val="00DA0FDE"/>
    <w:rsid w:val="00DA4745"/>
    <w:rsid w:val="00DA7124"/>
    <w:rsid w:val="00DA7BC7"/>
    <w:rsid w:val="00DB0E27"/>
    <w:rsid w:val="00DB2BB3"/>
    <w:rsid w:val="00DB7EAA"/>
    <w:rsid w:val="00DC6C2E"/>
    <w:rsid w:val="00DC6EA6"/>
    <w:rsid w:val="00DD2887"/>
    <w:rsid w:val="00DD713E"/>
    <w:rsid w:val="00DE082F"/>
    <w:rsid w:val="00DE1173"/>
    <w:rsid w:val="00DE20B3"/>
    <w:rsid w:val="00E06CD9"/>
    <w:rsid w:val="00E06E95"/>
    <w:rsid w:val="00E11196"/>
    <w:rsid w:val="00E1202B"/>
    <w:rsid w:val="00E33F3D"/>
    <w:rsid w:val="00E4218A"/>
    <w:rsid w:val="00E42C0C"/>
    <w:rsid w:val="00E43D32"/>
    <w:rsid w:val="00E465ED"/>
    <w:rsid w:val="00E57789"/>
    <w:rsid w:val="00E57916"/>
    <w:rsid w:val="00E632C0"/>
    <w:rsid w:val="00E65DFE"/>
    <w:rsid w:val="00E71516"/>
    <w:rsid w:val="00E72701"/>
    <w:rsid w:val="00E746A1"/>
    <w:rsid w:val="00E759AC"/>
    <w:rsid w:val="00E76D48"/>
    <w:rsid w:val="00E77BA9"/>
    <w:rsid w:val="00E82386"/>
    <w:rsid w:val="00E831E8"/>
    <w:rsid w:val="00E9273D"/>
    <w:rsid w:val="00E92C44"/>
    <w:rsid w:val="00E97B4C"/>
    <w:rsid w:val="00EA0FA7"/>
    <w:rsid w:val="00EA1C7B"/>
    <w:rsid w:val="00EA1FF3"/>
    <w:rsid w:val="00EA30CA"/>
    <w:rsid w:val="00EA32FF"/>
    <w:rsid w:val="00EA3AE9"/>
    <w:rsid w:val="00EA431D"/>
    <w:rsid w:val="00EA7805"/>
    <w:rsid w:val="00EB247F"/>
    <w:rsid w:val="00EB519C"/>
    <w:rsid w:val="00EB7320"/>
    <w:rsid w:val="00EC223E"/>
    <w:rsid w:val="00EC41B9"/>
    <w:rsid w:val="00EC41C9"/>
    <w:rsid w:val="00EC5915"/>
    <w:rsid w:val="00EE6F39"/>
    <w:rsid w:val="00EE7629"/>
    <w:rsid w:val="00EF3748"/>
    <w:rsid w:val="00F0062A"/>
    <w:rsid w:val="00F02093"/>
    <w:rsid w:val="00F04B40"/>
    <w:rsid w:val="00F1281F"/>
    <w:rsid w:val="00F12FCC"/>
    <w:rsid w:val="00F13CE8"/>
    <w:rsid w:val="00F34EAF"/>
    <w:rsid w:val="00F36E7C"/>
    <w:rsid w:val="00F421C7"/>
    <w:rsid w:val="00F423DF"/>
    <w:rsid w:val="00F50911"/>
    <w:rsid w:val="00F5375D"/>
    <w:rsid w:val="00F56AD8"/>
    <w:rsid w:val="00F60CD5"/>
    <w:rsid w:val="00F61D9F"/>
    <w:rsid w:val="00F62560"/>
    <w:rsid w:val="00F634FA"/>
    <w:rsid w:val="00F65050"/>
    <w:rsid w:val="00F66264"/>
    <w:rsid w:val="00F67A19"/>
    <w:rsid w:val="00F67BB3"/>
    <w:rsid w:val="00F70B63"/>
    <w:rsid w:val="00F71F83"/>
    <w:rsid w:val="00F7760B"/>
    <w:rsid w:val="00F804F9"/>
    <w:rsid w:val="00F8311E"/>
    <w:rsid w:val="00F9082D"/>
    <w:rsid w:val="00F9264A"/>
    <w:rsid w:val="00FA03CF"/>
    <w:rsid w:val="00FA0C9C"/>
    <w:rsid w:val="00FA14EF"/>
    <w:rsid w:val="00FA41FC"/>
    <w:rsid w:val="00FB5664"/>
    <w:rsid w:val="00FC092C"/>
    <w:rsid w:val="00FC3B47"/>
    <w:rsid w:val="00FD15F2"/>
    <w:rsid w:val="00FD7AA6"/>
    <w:rsid w:val="00FE0EC2"/>
    <w:rsid w:val="00FE124A"/>
    <w:rsid w:val="00FE328E"/>
    <w:rsid w:val="00FE3C0F"/>
    <w:rsid w:val="00FE585E"/>
    <w:rsid w:val="00FE6F9B"/>
    <w:rsid w:val="00FE7806"/>
    <w:rsid w:val="00FF0ADA"/>
    <w:rsid w:val="00FF3AB1"/>
    <w:rsid w:val="00FF4F6D"/>
    <w:rsid w:val="00FF51D3"/>
    <w:rsid w:val="00FF56A9"/>
    <w:rsid w:val="00FF6ED1"/>
    <w:rsid w:val="00FF73F2"/>
    <w:rsid w:val="00FF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CBBB7C-D96D-4A01-9080-41D78300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E585E"/>
    <w:rPr>
      <w:color w:val="0000FF"/>
      <w:u w:val="single"/>
    </w:rPr>
  </w:style>
  <w:style w:type="paragraph" w:customStyle="1" w:styleId="Default">
    <w:name w:val="Default"/>
    <w:rsid w:val="00BF6F05"/>
    <w:pPr>
      <w:autoSpaceDE w:val="0"/>
      <w:autoSpaceDN w:val="0"/>
      <w:adjustRightInd w:val="0"/>
    </w:pPr>
    <w:rPr>
      <w:rFonts w:ascii="Arial" w:hAnsi="Arial" w:cs="Arial"/>
      <w:color w:val="000000"/>
      <w:sz w:val="24"/>
      <w:szCs w:val="24"/>
    </w:rPr>
  </w:style>
  <w:style w:type="paragraph" w:customStyle="1" w:styleId="Pa2">
    <w:name w:val="Pa2"/>
    <w:basedOn w:val="Default"/>
    <w:next w:val="Default"/>
    <w:rsid w:val="00F67A19"/>
    <w:pPr>
      <w:spacing w:line="261" w:lineRule="atLeast"/>
    </w:pPr>
    <w:rPr>
      <w:rFonts w:ascii="General GG 330" w:hAnsi="General GG 330" w:cs="Times New Roman"/>
      <w:color w:val="auto"/>
    </w:rPr>
  </w:style>
  <w:style w:type="character" w:customStyle="1" w:styleId="A3">
    <w:name w:val="A3"/>
    <w:rsid w:val="00F67A19"/>
    <w:rPr>
      <w:rFonts w:cs="General GG 330"/>
      <w:color w:val="000000"/>
      <w:sz w:val="15"/>
      <w:szCs w:val="15"/>
    </w:rPr>
  </w:style>
  <w:style w:type="character" w:customStyle="1" w:styleId="A4">
    <w:name w:val="A4"/>
    <w:rsid w:val="00F67A19"/>
    <w:rPr>
      <w:rFonts w:cs="General GG 330"/>
      <w:i/>
      <w:iCs/>
      <w:color w:val="000000"/>
      <w:sz w:val="11"/>
      <w:szCs w:val="11"/>
    </w:rPr>
  </w:style>
  <w:style w:type="paragraph" w:customStyle="1" w:styleId="Pa3">
    <w:name w:val="Pa3"/>
    <w:basedOn w:val="Default"/>
    <w:next w:val="Default"/>
    <w:rsid w:val="00F67A19"/>
    <w:pPr>
      <w:spacing w:line="201" w:lineRule="atLeast"/>
    </w:pPr>
    <w:rPr>
      <w:rFonts w:ascii="General GG 330" w:hAnsi="General GG 330" w:cs="Times New Roman"/>
      <w:color w:val="auto"/>
    </w:rPr>
  </w:style>
  <w:style w:type="paragraph" w:styleId="DocumentMap">
    <w:name w:val="Document Map"/>
    <w:basedOn w:val="Normal"/>
    <w:semiHidden/>
    <w:rsid w:val="00F60CD5"/>
    <w:pPr>
      <w:shd w:val="clear" w:color="auto" w:fill="000080"/>
    </w:pPr>
    <w:rPr>
      <w:rFonts w:ascii="Tahoma" w:hAnsi="Tahoma" w:cs="Tahoma"/>
      <w:sz w:val="20"/>
      <w:szCs w:val="20"/>
    </w:rPr>
  </w:style>
  <w:style w:type="paragraph" w:styleId="Caption">
    <w:name w:val="caption"/>
    <w:basedOn w:val="Normal"/>
    <w:next w:val="Normal"/>
    <w:qFormat/>
    <w:rsid w:val="00CD1D92"/>
    <w:rPr>
      <w:b/>
      <w:bCs/>
      <w:sz w:val="20"/>
      <w:szCs w:val="20"/>
    </w:rPr>
  </w:style>
  <w:style w:type="table" w:styleId="TableGrid">
    <w:name w:val="Table Grid"/>
    <w:basedOn w:val="TableNormal"/>
    <w:rsid w:val="00A73D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876662">
      <w:bodyDiv w:val="1"/>
      <w:marLeft w:val="0"/>
      <w:marRight w:val="0"/>
      <w:marTop w:val="0"/>
      <w:marBottom w:val="0"/>
      <w:divBdr>
        <w:top w:val="none" w:sz="0" w:space="0" w:color="auto"/>
        <w:left w:val="none" w:sz="0" w:space="0" w:color="auto"/>
        <w:bottom w:val="none" w:sz="0" w:space="0" w:color="auto"/>
        <w:right w:val="none" w:sz="0" w:space="0" w:color="auto"/>
      </w:divBdr>
      <w:divsChild>
        <w:div w:id="246774283">
          <w:marLeft w:val="0"/>
          <w:marRight w:val="0"/>
          <w:marTop w:val="144"/>
          <w:marBottom w:val="0"/>
          <w:divBdr>
            <w:top w:val="none" w:sz="0" w:space="0" w:color="auto"/>
            <w:left w:val="none" w:sz="0" w:space="0" w:color="auto"/>
            <w:bottom w:val="none" w:sz="0" w:space="0" w:color="auto"/>
            <w:right w:val="none" w:sz="0" w:space="0" w:color="auto"/>
          </w:divBdr>
          <w:divsChild>
            <w:div w:id="34626447">
              <w:marLeft w:val="0"/>
              <w:marRight w:val="0"/>
              <w:marTop w:val="0"/>
              <w:marBottom w:val="0"/>
              <w:divBdr>
                <w:top w:val="none" w:sz="0" w:space="0" w:color="auto"/>
                <w:left w:val="none" w:sz="0" w:space="0" w:color="auto"/>
                <w:bottom w:val="none" w:sz="0" w:space="0" w:color="auto"/>
                <w:right w:val="none" w:sz="0" w:space="0" w:color="auto"/>
              </w:divBdr>
              <w:divsChild>
                <w:div w:id="376977589">
                  <w:marLeft w:val="0"/>
                  <w:marRight w:val="0"/>
                  <w:marTop w:val="0"/>
                  <w:marBottom w:val="0"/>
                  <w:divBdr>
                    <w:top w:val="none" w:sz="0" w:space="0" w:color="auto"/>
                    <w:left w:val="none" w:sz="0" w:space="0" w:color="auto"/>
                    <w:bottom w:val="none" w:sz="0" w:space="0" w:color="auto"/>
                    <w:right w:val="none" w:sz="0" w:space="0" w:color="auto"/>
                  </w:divBdr>
                  <w:divsChild>
                    <w:div w:id="801922685">
                      <w:marLeft w:val="0"/>
                      <w:marRight w:val="0"/>
                      <w:marTop w:val="0"/>
                      <w:marBottom w:val="0"/>
                      <w:divBdr>
                        <w:top w:val="none" w:sz="0" w:space="0" w:color="auto"/>
                        <w:left w:val="none" w:sz="0" w:space="0" w:color="auto"/>
                        <w:bottom w:val="none" w:sz="0" w:space="0" w:color="auto"/>
                        <w:right w:val="none" w:sz="0" w:space="0" w:color="auto"/>
                      </w:divBdr>
                      <w:divsChild>
                        <w:div w:id="1209493469">
                          <w:marLeft w:val="0"/>
                          <w:marRight w:val="0"/>
                          <w:marTop w:val="0"/>
                          <w:marBottom w:val="0"/>
                          <w:divBdr>
                            <w:top w:val="none" w:sz="0" w:space="0" w:color="auto"/>
                            <w:left w:val="none" w:sz="0" w:space="0" w:color="auto"/>
                            <w:bottom w:val="none" w:sz="0" w:space="0" w:color="auto"/>
                            <w:right w:val="none" w:sz="0" w:space="0" w:color="auto"/>
                          </w:divBdr>
                          <w:divsChild>
                            <w:div w:id="1220286174">
                              <w:marLeft w:val="0"/>
                              <w:marRight w:val="0"/>
                              <w:marTop w:val="0"/>
                              <w:marBottom w:val="0"/>
                              <w:divBdr>
                                <w:top w:val="none" w:sz="0" w:space="0" w:color="auto"/>
                                <w:left w:val="none" w:sz="0" w:space="0" w:color="auto"/>
                                <w:bottom w:val="none" w:sz="0" w:space="0" w:color="auto"/>
                                <w:right w:val="none" w:sz="0" w:space="0" w:color="auto"/>
                              </w:divBdr>
                              <w:divsChild>
                                <w:div w:id="239994829">
                                  <w:marLeft w:val="0"/>
                                  <w:marRight w:val="0"/>
                                  <w:marTop w:val="0"/>
                                  <w:marBottom w:val="0"/>
                                  <w:divBdr>
                                    <w:top w:val="none" w:sz="0" w:space="0" w:color="auto"/>
                                    <w:left w:val="none" w:sz="0" w:space="0" w:color="auto"/>
                                    <w:bottom w:val="none" w:sz="0" w:space="0" w:color="auto"/>
                                    <w:right w:val="none" w:sz="0" w:space="0" w:color="auto"/>
                                  </w:divBdr>
                                  <w:divsChild>
                                    <w:div w:id="2251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814077">
      <w:bodyDiv w:val="1"/>
      <w:marLeft w:val="0"/>
      <w:marRight w:val="0"/>
      <w:marTop w:val="0"/>
      <w:marBottom w:val="0"/>
      <w:divBdr>
        <w:top w:val="none" w:sz="0" w:space="0" w:color="auto"/>
        <w:left w:val="none" w:sz="0" w:space="0" w:color="auto"/>
        <w:bottom w:val="none" w:sz="0" w:space="0" w:color="auto"/>
        <w:right w:val="none" w:sz="0" w:space="0" w:color="auto"/>
      </w:divBdr>
      <w:divsChild>
        <w:div w:id="1806855500">
          <w:marLeft w:val="0"/>
          <w:marRight w:val="0"/>
          <w:marTop w:val="0"/>
          <w:marBottom w:val="0"/>
          <w:divBdr>
            <w:top w:val="none" w:sz="0" w:space="0" w:color="auto"/>
            <w:left w:val="none" w:sz="0" w:space="0" w:color="auto"/>
            <w:bottom w:val="none" w:sz="0" w:space="0" w:color="auto"/>
            <w:right w:val="none" w:sz="0" w:space="0" w:color="auto"/>
          </w:divBdr>
          <w:divsChild>
            <w:div w:id="1414547083">
              <w:marLeft w:val="0"/>
              <w:marRight w:val="0"/>
              <w:marTop w:val="0"/>
              <w:marBottom w:val="0"/>
              <w:divBdr>
                <w:top w:val="none" w:sz="0" w:space="0" w:color="auto"/>
                <w:left w:val="none" w:sz="0" w:space="0" w:color="auto"/>
                <w:bottom w:val="none" w:sz="0" w:space="0" w:color="auto"/>
                <w:right w:val="none" w:sz="0" w:space="0" w:color="auto"/>
              </w:divBdr>
              <w:divsChild>
                <w:div w:id="4235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21349">
      <w:bodyDiv w:val="1"/>
      <w:marLeft w:val="0"/>
      <w:marRight w:val="0"/>
      <w:marTop w:val="0"/>
      <w:marBottom w:val="0"/>
      <w:divBdr>
        <w:top w:val="none" w:sz="0" w:space="0" w:color="auto"/>
        <w:left w:val="none" w:sz="0" w:space="0" w:color="auto"/>
        <w:bottom w:val="none" w:sz="0" w:space="0" w:color="auto"/>
        <w:right w:val="none" w:sz="0" w:space="0" w:color="auto"/>
      </w:divBdr>
    </w:div>
    <w:div w:id="999163834">
      <w:bodyDiv w:val="1"/>
      <w:marLeft w:val="0"/>
      <w:marRight w:val="0"/>
      <w:marTop w:val="0"/>
      <w:marBottom w:val="0"/>
      <w:divBdr>
        <w:top w:val="none" w:sz="0" w:space="0" w:color="auto"/>
        <w:left w:val="none" w:sz="0" w:space="0" w:color="auto"/>
        <w:bottom w:val="none" w:sz="0" w:space="0" w:color="auto"/>
        <w:right w:val="none" w:sz="0" w:space="0" w:color="auto"/>
      </w:divBdr>
      <w:divsChild>
        <w:div w:id="787238892">
          <w:marLeft w:val="0"/>
          <w:marRight w:val="0"/>
          <w:marTop w:val="0"/>
          <w:marBottom w:val="0"/>
          <w:divBdr>
            <w:top w:val="none" w:sz="0" w:space="0" w:color="auto"/>
            <w:left w:val="none" w:sz="0" w:space="0" w:color="auto"/>
            <w:bottom w:val="none" w:sz="0" w:space="0" w:color="auto"/>
            <w:right w:val="none" w:sz="0" w:space="0" w:color="auto"/>
          </w:divBdr>
          <w:divsChild>
            <w:div w:id="1453134020">
              <w:marLeft w:val="0"/>
              <w:marRight w:val="0"/>
              <w:marTop w:val="0"/>
              <w:marBottom w:val="0"/>
              <w:divBdr>
                <w:top w:val="none" w:sz="0" w:space="0" w:color="auto"/>
                <w:left w:val="none" w:sz="0" w:space="0" w:color="auto"/>
                <w:bottom w:val="none" w:sz="0" w:space="0" w:color="auto"/>
                <w:right w:val="none" w:sz="0" w:space="0" w:color="auto"/>
              </w:divBdr>
              <w:divsChild>
                <w:div w:id="10091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763463">
      <w:bodyDiv w:val="1"/>
      <w:marLeft w:val="0"/>
      <w:marRight w:val="0"/>
      <w:marTop w:val="0"/>
      <w:marBottom w:val="0"/>
      <w:divBdr>
        <w:top w:val="none" w:sz="0" w:space="0" w:color="auto"/>
        <w:left w:val="none" w:sz="0" w:space="0" w:color="auto"/>
        <w:bottom w:val="none" w:sz="0" w:space="0" w:color="auto"/>
        <w:right w:val="none" w:sz="0" w:space="0" w:color="auto"/>
      </w:divBdr>
    </w:div>
    <w:div w:id="1227686048">
      <w:bodyDiv w:val="1"/>
      <w:marLeft w:val="0"/>
      <w:marRight w:val="0"/>
      <w:marTop w:val="0"/>
      <w:marBottom w:val="0"/>
      <w:divBdr>
        <w:top w:val="none" w:sz="0" w:space="0" w:color="auto"/>
        <w:left w:val="none" w:sz="0" w:space="0" w:color="auto"/>
        <w:bottom w:val="none" w:sz="0" w:space="0" w:color="auto"/>
        <w:right w:val="none" w:sz="0" w:space="0" w:color="auto"/>
      </w:divBdr>
      <w:divsChild>
        <w:div w:id="146021493">
          <w:marLeft w:val="547"/>
          <w:marRight w:val="0"/>
          <w:marTop w:val="576"/>
          <w:marBottom w:val="0"/>
          <w:divBdr>
            <w:top w:val="none" w:sz="0" w:space="0" w:color="auto"/>
            <w:left w:val="none" w:sz="0" w:space="0" w:color="auto"/>
            <w:bottom w:val="none" w:sz="0" w:space="0" w:color="auto"/>
            <w:right w:val="none" w:sz="0" w:space="0" w:color="auto"/>
          </w:divBdr>
        </w:div>
        <w:div w:id="637927523">
          <w:marLeft w:val="547"/>
          <w:marRight w:val="0"/>
          <w:marTop w:val="576"/>
          <w:marBottom w:val="0"/>
          <w:divBdr>
            <w:top w:val="none" w:sz="0" w:space="0" w:color="auto"/>
            <w:left w:val="none" w:sz="0" w:space="0" w:color="auto"/>
            <w:bottom w:val="none" w:sz="0" w:space="0" w:color="auto"/>
            <w:right w:val="none" w:sz="0" w:space="0" w:color="auto"/>
          </w:divBdr>
        </w:div>
        <w:div w:id="1368410456">
          <w:marLeft w:val="547"/>
          <w:marRight w:val="0"/>
          <w:marTop w:val="576"/>
          <w:marBottom w:val="0"/>
          <w:divBdr>
            <w:top w:val="none" w:sz="0" w:space="0" w:color="auto"/>
            <w:left w:val="none" w:sz="0" w:space="0" w:color="auto"/>
            <w:bottom w:val="none" w:sz="0" w:space="0" w:color="auto"/>
            <w:right w:val="none" w:sz="0" w:space="0" w:color="auto"/>
          </w:divBdr>
        </w:div>
        <w:div w:id="1477183158">
          <w:marLeft w:val="547"/>
          <w:marRight w:val="0"/>
          <w:marTop w:val="576"/>
          <w:marBottom w:val="0"/>
          <w:divBdr>
            <w:top w:val="none" w:sz="0" w:space="0" w:color="auto"/>
            <w:left w:val="none" w:sz="0" w:space="0" w:color="auto"/>
            <w:bottom w:val="none" w:sz="0" w:space="0" w:color="auto"/>
            <w:right w:val="none" w:sz="0" w:space="0" w:color="auto"/>
          </w:divBdr>
        </w:div>
        <w:div w:id="1857229199">
          <w:marLeft w:val="547"/>
          <w:marRight w:val="0"/>
          <w:marTop w:val="576"/>
          <w:marBottom w:val="0"/>
          <w:divBdr>
            <w:top w:val="none" w:sz="0" w:space="0" w:color="auto"/>
            <w:left w:val="none" w:sz="0" w:space="0" w:color="auto"/>
            <w:bottom w:val="none" w:sz="0" w:space="0" w:color="auto"/>
            <w:right w:val="none" w:sz="0" w:space="0" w:color="auto"/>
          </w:divBdr>
        </w:div>
      </w:divsChild>
    </w:div>
    <w:div w:id="1345398851">
      <w:bodyDiv w:val="1"/>
      <w:marLeft w:val="0"/>
      <w:marRight w:val="0"/>
      <w:marTop w:val="0"/>
      <w:marBottom w:val="0"/>
      <w:divBdr>
        <w:top w:val="none" w:sz="0" w:space="0" w:color="auto"/>
        <w:left w:val="none" w:sz="0" w:space="0" w:color="auto"/>
        <w:bottom w:val="none" w:sz="0" w:space="0" w:color="auto"/>
        <w:right w:val="none" w:sz="0" w:space="0" w:color="auto"/>
      </w:divBdr>
      <w:divsChild>
        <w:div w:id="1782336960">
          <w:marLeft w:val="0"/>
          <w:marRight w:val="0"/>
          <w:marTop w:val="0"/>
          <w:marBottom w:val="0"/>
          <w:divBdr>
            <w:top w:val="none" w:sz="0" w:space="0" w:color="auto"/>
            <w:left w:val="none" w:sz="0" w:space="0" w:color="auto"/>
            <w:bottom w:val="none" w:sz="0" w:space="0" w:color="auto"/>
            <w:right w:val="none" w:sz="0" w:space="0" w:color="auto"/>
          </w:divBdr>
          <w:divsChild>
            <w:div w:id="1464345962">
              <w:marLeft w:val="0"/>
              <w:marRight w:val="0"/>
              <w:marTop w:val="0"/>
              <w:marBottom w:val="0"/>
              <w:divBdr>
                <w:top w:val="none" w:sz="0" w:space="0" w:color="auto"/>
                <w:left w:val="none" w:sz="0" w:space="0" w:color="auto"/>
                <w:bottom w:val="none" w:sz="0" w:space="0" w:color="auto"/>
                <w:right w:val="none" w:sz="0" w:space="0" w:color="auto"/>
              </w:divBdr>
              <w:divsChild>
                <w:div w:id="15310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www.cms.gov/Medicare/Medicare-Fee-for-Service-Payment/AcuteInpatientPPS/Readmissions-Reduction-Program.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who.int/topics/noncommunicable_diseases/en/"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healthcatalyst.com/healthcare-data-warehouse-hospital-readmissions-reductio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bipartisanpolicy.org/sites/default/files/BPC%20Health%20Care%20Cost%20Drivers%20Brief%20Sept%202012.pdf" TargetMode="External"/><Relationship Id="rId20" Type="http://schemas.openxmlformats.org/officeDocument/2006/relationships/hyperlink" Target="http://www.cms.gov/Research-Statistics-Data-and-Systems/Statistics-Trends-and-Reports/Chronic-Conditions/CC_Mai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oleObject" Target="embeddings/Microsoft_Excel_97-2003_Worksheet1.xls"/><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7.emf"/><Relationship Id="rId10" Type="http://schemas.openxmlformats.org/officeDocument/2006/relationships/image" Target="media/image1.png"/><Relationship Id="rId19" Type="http://schemas.openxmlformats.org/officeDocument/2006/relationships/hyperlink" Target="http://www.cms.gov/Research-Statistics-Data-and-Systems/Statistics-Trends-and-Reports/Chronic-Conditions/Downloads/2012Chartbook.pdf" TargetMode="External"/><Relationship Id="rId4" Type="http://schemas.openxmlformats.org/officeDocument/2006/relationships/customXml" Target="../customXml/item4.xml"/><Relationship Id="rId9" Type="http://schemas.openxmlformats.org/officeDocument/2006/relationships/hyperlink" Target="http://www.ccwdata.org" TargetMode="External"/><Relationship Id="rId14" Type="http://schemas.openxmlformats.org/officeDocument/2006/relationships/image" Target="media/image5.png"/><Relationship Id="rId22" Type="http://schemas.openxmlformats.org/officeDocument/2006/relationships/hyperlink" Target="http://hcupnet.ahrq.gov/HCUPnet.jsp?Id=27B850D0C231FC58&amp;Form=SelDXPR&amp;JS=Y&amp;Action=%3E%3ENext%3E%3E&amp;_DXPR=DCCHP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99A46-8E60-4612-B1E5-F7DF1C4CBE75}">
  <ds:schemaRefs>
    <ds:schemaRef ds:uri="http://schemas.microsoft.com/sharepoint/v3/contenttype/forms"/>
  </ds:schemaRefs>
</ds:datastoreItem>
</file>

<file path=customXml/itemProps2.xml><?xml version="1.0" encoding="utf-8"?>
<ds:datastoreItem xmlns:ds="http://schemas.openxmlformats.org/officeDocument/2006/customXml" ds:itemID="{9342B8D1-1A2E-4C9C-8C8D-999874DDF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B62FC37-8210-4D73-B14A-18002217F7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F708DD-5E05-471C-AFDA-2FEC26A35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12765</CharactersWithSpaces>
  <SharedDoc>false</SharedDoc>
  <HyperlinkBase/>
  <HLinks>
    <vt:vector size="48" baseType="variant">
      <vt:variant>
        <vt:i4>6750326</vt:i4>
      </vt:variant>
      <vt:variant>
        <vt:i4>21</vt:i4>
      </vt:variant>
      <vt:variant>
        <vt:i4>0</vt:i4>
      </vt:variant>
      <vt:variant>
        <vt:i4>5</vt:i4>
      </vt:variant>
      <vt:variant>
        <vt:lpwstr>http://hcupnet.ahrq.gov/HCUPnet.jsp?Id=27B850D0C231FC58&amp;Form=SelDXPR&amp;JS=Y&amp;Action=%3E%3ENext%3E%3E&amp;_DXPR=DCCHPR1</vt:lpwstr>
      </vt:variant>
      <vt:variant>
        <vt:lpwstr/>
      </vt:variant>
      <vt:variant>
        <vt:i4>983160</vt:i4>
      </vt:variant>
      <vt:variant>
        <vt:i4>18</vt:i4>
      </vt:variant>
      <vt:variant>
        <vt:i4>0</vt:i4>
      </vt:variant>
      <vt:variant>
        <vt:i4>5</vt:i4>
      </vt:variant>
      <vt:variant>
        <vt:lpwstr>http://www.who.int/topics/noncommunicable_diseases/en/</vt:lpwstr>
      </vt:variant>
      <vt:variant>
        <vt:lpwstr/>
      </vt:variant>
      <vt:variant>
        <vt:i4>6881330</vt:i4>
      </vt:variant>
      <vt:variant>
        <vt:i4>15</vt:i4>
      </vt:variant>
      <vt:variant>
        <vt:i4>0</vt:i4>
      </vt:variant>
      <vt:variant>
        <vt:i4>5</vt:i4>
      </vt:variant>
      <vt:variant>
        <vt:lpwstr>http://www.cms.gov/Research-Statistics-Data-and-Systems/Statistics-Trends-and-Reports/Chronic-Conditions/CC_Main.html</vt:lpwstr>
      </vt:variant>
      <vt:variant>
        <vt:lpwstr/>
      </vt:variant>
      <vt:variant>
        <vt:i4>5570585</vt:i4>
      </vt:variant>
      <vt:variant>
        <vt:i4>12</vt:i4>
      </vt:variant>
      <vt:variant>
        <vt:i4>0</vt:i4>
      </vt:variant>
      <vt:variant>
        <vt:i4>5</vt:i4>
      </vt:variant>
      <vt:variant>
        <vt:lpwstr>http://www.cms.gov/Research-Statistics-Data-and-Systems/Statistics-Trends-and-Reports/Chronic-Conditions/Downloads/2012Chartbook.pdf</vt:lpwstr>
      </vt:variant>
      <vt:variant>
        <vt:lpwstr/>
      </vt:variant>
      <vt:variant>
        <vt:i4>3014704</vt:i4>
      </vt:variant>
      <vt:variant>
        <vt:i4>9</vt:i4>
      </vt:variant>
      <vt:variant>
        <vt:i4>0</vt:i4>
      </vt:variant>
      <vt:variant>
        <vt:i4>5</vt:i4>
      </vt:variant>
      <vt:variant>
        <vt:lpwstr>http://www.cms.gov/Medicare/Medicare-Fee-for-Service-Payment/AcuteInpatientPPS/Readmissions-Reduction-Program.html</vt:lpwstr>
      </vt:variant>
      <vt:variant>
        <vt:lpwstr/>
      </vt:variant>
      <vt:variant>
        <vt:i4>6094877</vt:i4>
      </vt:variant>
      <vt:variant>
        <vt:i4>6</vt:i4>
      </vt:variant>
      <vt:variant>
        <vt:i4>0</vt:i4>
      </vt:variant>
      <vt:variant>
        <vt:i4>5</vt:i4>
      </vt:variant>
      <vt:variant>
        <vt:lpwstr>https://www.healthcatalyst.com/healthcare-data-warehouse-hospital-readmissions-reduction</vt:lpwstr>
      </vt:variant>
      <vt:variant>
        <vt:lpwstr/>
      </vt:variant>
      <vt:variant>
        <vt:i4>5374016</vt:i4>
      </vt:variant>
      <vt:variant>
        <vt:i4>3</vt:i4>
      </vt:variant>
      <vt:variant>
        <vt:i4>0</vt:i4>
      </vt:variant>
      <vt:variant>
        <vt:i4>5</vt:i4>
      </vt:variant>
      <vt:variant>
        <vt:lpwstr>http://bipartisanpolicy.org/sites/default/files/BPC Health Care Cost Drivers Brief Sept 2012.pdf</vt:lpwstr>
      </vt:variant>
      <vt:variant>
        <vt:lpwstr/>
      </vt:variant>
      <vt:variant>
        <vt:i4>3604607</vt:i4>
      </vt:variant>
      <vt:variant>
        <vt:i4>0</vt:i4>
      </vt:variant>
      <vt:variant>
        <vt:i4>0</vt:i4>
      </vt:variant>
      <vt:variant>
        <vt:i4>5</vt:i4>
      </vt:variant>
      <vt:variant>
        <vt:lpwstr>http://www.ccwdata.org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Bruce</dc:creator>
  <cp:keywords/>
  <dc:description/>
  <cp:lastModifiedBy>Morgan, Bruce</cp:lastModifiedBy>
  <cp:revision>2</cp:revision>
  <dcterms:created xsi:type="dcterms:W3CDTF">2018-07-26T12:29:00Z</dcterms:created>
  <dcterms:modified xsi:type="dcterms:W3CDTF">2018-07-26T12:29:00Z</dcterms:modified>
  <cp:category/>
</cp:coreProperties>
</file>