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44CD10C" w:rsidP="4692D324" w:rsidRDefault="644CD10C" w14:paraId="27A8B2AB" w14:textId="73EB054A">
      <w:pPr>
        <w:pStyle w:val="Heading1"/>
        <w:rPr>
          <w:rFonts w:ascii="Open Sans" w:hAnsi="Open Sans" w:eastAsia="Open Sans" w:cs="Open Sans"/>
          <w:b w:val="1"/>
          <w:bCs w:val="1"/>
          <w:i w:val="0"/>
          <w:iCs w:val="0"/>
          <w:caps w:val="0"/>
          <w:smallCaps w:val="0"/>
          <w:noProof w:val="0"/>
          <w:color w:val="333333"/>
          <w:sz w:val="22"/>
          <w:szCs w:val="22"/>
          <w:lang w:val="en-US"/>
        </w:rPr>
      </w:pPr>
      <w:r w:rsidRPr="4692D324" w:rsidR="644CD10C">
        <w:rPr>
          <w:rFonts w:ascii="Open Sans" w:hAnsi="Open Sans" w:eastAsia="Open Sans" w:cs="Open Sans"/>
          <w:b w:val="1"/>
          <w:bCs w:val="1"/>
          <w:i w:val="0"/>
          <w:iCs w:val="0"/>
          <w:caps w:val="0"/>
          <w:smallCaps w:val="0"/>
          <w:noProof w:val="0"/>
          <w:color w:val="333333"/>
          <w:sz w:val="22"/>
          <w:szCs w:val="22"/>
          <w:lang w:val="en-US"/>
        </w:rPr>
        <w:t>Sakani: Backend Doc</w:t>
      </w:r>
    </w:p>
    <w:p w:rsidR="644CD10C" w:rsidP="4692D324" w:rsidRDefault="644CD10C" w14:paraId="41BB6C3E" w14:textId="540BCFCC">
      <w:pPr>
        <w:spacing w:before="0" w:beforeAutospacing="off" w:after="0" w:afterAutospacing="off"/>
      </w:pPr>
      <w:r w:rsidRPr="4692D324" w:rsidR="644CD10C">
        <w:rPr>
          <w:rFonts w:ascii="Open Sans" w:hAnsi="Open Sans" w:eastAsia="Open Sans" w:cs="Open Sans"/>
          <w:b w:val="0"/>
          <w:bCs w:val="0"/>
          <w:i w:val="0"/>
          <w:iCs w:val="0"/>
          <w:caps w:val="0"/>
          <w:smallCaps w:val="0"/>
          <w:noProof w:val="0"/>
          <w:color w:val="333333"/>
          <w:sz w:val="24"/>
          <w:szCs w:val="24"/>
          <w:lang w:val="en-US"/>
        </w:rPr>
        <w:t xml:space="preserve">The Animeta BrandStar Backend Microservice is responsible for the development and deployment cycle of BrandStar. It can be accessed at </w:t>
      </w:r>
      <w:hyperlink r:id="Rdbd300eeecf44dbd">
        <w:r w:rsidRPr="4692D324" w:rsidR="644CD10C">
          <w:rPr>
            <w:rStyle w:val="Hyperlink"/>
            <w:rFonts w:ascii="Open Sans" w:hAnsi="Open Sans" w:eastAsia="Open Sans" w:cs="Open Sans"/>
            <w:b w:val="0"/>
            <w:bCs w:val="0"/>
            <w:i w:val="0"/>
            <w:iCs w:val="0"/>
            <w:caps w:val="0"/>
            <w:smallCaps w:val="0"/>
            <w:noProof w:val="0"/>
            <w:sz w:val="24"/>
            <w:szCs w:val="24"/>
            <w:lang w:val="en-US"/>
          </w:rPr>
          <w:t>ASK-Dev</w:t>
        </w:r>
      </w:hyperlink>
      <w:r w:rsidRPr="4692D324" w:rsidR="644CD10C">
        <w:rPr>
          <w:rFonts w:ascii="Open Sans" w:hAnsi="Open Sans" w:eastAsia="Open Sans" w:cs="Open Sans"/>
          <w:b w:val="0"/>
          <w:bCs w:val="0"/>
          <w:i w:val="0"/>
          <w:iCs w:val="0"/>
          <w:caps w:val="0"/>
          <w:smallCaps w:val="0"/>
          <w:noProof w:val="0"/>
          <w:color w:val="333333"/>
          <w:sz w:val="24"/>
          <w:szCs w:val="24"/>
          <w:lang w:val="en-US"/>
        </w:rPr>
        <w:t>. This backend microservice securely handles the environment variables required for its operation, including the server port, MongoDB connection details, access token, refresh token, Redis credentials, and Tubular credentials. Additionally, it includes sub microservices to facilitate efficient interaction with the Tubular API.</w:t>
      </w:r>
    </w:p>
    <w:p w:rsidR="644CD10C" w:rsidP="4692D324" w:rsidRDefault="644CD10C" w14:paraId="2BC59C85" w14:textId="21116247">
      <w:pPr>
        <w:pStyle w:val="Heading5"/>
      </w:pPr>
      <w:r w:rsidRPr="4692D324" w:rsidR="644CD10C">
        <w:rPr>
          <w:rFonts w:ascii="Open Sans" w:hAnsi="Open Sans" w:eastAsia="Open Sans" w:cs="Open Sans"/>
          <w:b w:val="1"/>
          <w:bCs w:val="1"/>
          <w:i w:val="0"/>
          <w:iCs w:val="0"/>
          <w:caps w:val="0"/>
          <w:smallCaps w:val="0"/>
          <w:noProof w:val="0"/>
          <w:color w:val="333333"/>
          <w:sz w:val="22"/>
          <w:szCs w:val="22"/>
          <w:lang w:val="en-US"/>
        </w:rPr>
        <w:t>Backend Microservice Overview</w:t>
      </w:r>
    </w:p>
    <w:p w:rsidR="644CD10C" w:rsidP="4692D324" w:rsidRDefault="644CD10C" w14:paraId="600E3576" w14:textId="39BAE575">
      <w:pPr>
        <w:spacing w:before="0" w:beforeAutospacing="off" w:after="0" w:afterAutospacing="off"/>
      </w:pPr>
      <w:r w:rsidRPr="4692D324" w:rsidR="644CD10C">
        <w:rPr>
          <w:rFonts w:ascii="Open Sans" w:hAnsi="Open Sans" w:eastAsia="Open Sans" w:cs="Open Sans"/>
          <w:b w:val="0"/>
          <w:bCs w:val="0"/>
          <w:i w:val="0"/>
          <w:iCs w:val="0"/>
          <w:caps w:val="0"/>
          <w:smallCaps w:val="0"/>
          <w:noProof w:val="0"/>
          <w:color w:val="333333"/>
          <w:sz w:val="24"/>
          <w:szCs w:val="24"/>
          <w:lang w:val="en-US"/>
        </w:rPr>
        <w:t>The Animeta BrandStar Backend Microservice acts as the central hub for the development and deployment processes of BrandStar. It provides the necessary functionalities and APIs to support the backend operations. The microservice ensures the secure transmission of sensitive environment variables required for its functioning.</w:t>
      </w:r>
    </w:p>
    <w:p w:rsidR="644CD10C" w:rsidP="4692D324" w:rsidRDefault="644CD10C" w14:paraId="0078E3F1" w14:textId="6D606B40">
      <w:pPr>
        <w:pStyle w:val="Heading5"/>
      </w:pPr>
      <w:r w:rsidRPr="4692D324" w:rsidR="644CD10C">
        <w:rPr>
          <w:rFonts w:ascii="Open Sans" w:hAnsi="Open Sans" w:eastAsia="Open Sans" w:cs="Open Sans"/>
          <w:b w:val="1"/>
          <w:bCs w:val="1"/>
          <w:i w:val="0"/>
          <w:iCs w:val="0"/>
          <w:caps w:val="0"/>
          <w:smallCaps w:val="0"/>
          <w:noProof w:val="0"/>
          <w:color w:val="333333"/>
          <w:sz w:val="22"/>
          <w:szCs w:val="22"/>
          <w:lang w:val="en-US"/>
        </w:rPr>
        <w:t>Secure Channel for Environment Variable Transmission</w:t>
      </w:r>
    </w:p>
    <w:p w:rsidR="644CD10C" w:rsidP="4692D324" w:rsidRDefault="644CD10C" w14:paraId="6B041EB3" w14:textId="7CAF2F72">
      <w:pPr>
        <w:spacing w:before="0" w:beforeAutospacing="off" w:after="0" w:afterAutospacing="off"/>
      </w:pPr>
      <w:r w:rsidRPr="4692D324" w:rsidR="644CD10C">
        <w:rPr>
          <w:rFonts w:ascii="Open Sans" w:hAnsi="Open Sans" w:eastAsia="Open Sans" w:cs="Open Sans"/>
          <w:b w:val="0"/>
          <w:bCs w:val="0"/>
          <w:i w:val="0"/>
          <w:iCs w:val="0"/>
          <w:caps w:val="0"/>
          <w:smallCaps w:val="0"/>
          <w:noProof w:val="0"/>
          <w:color w:val="333333"/>
          <w:sz w:val="24"/>
          <w:szCs w:val="24"/>
          <w:lang w:val="en-US"/>
        </w:rPr>
        <w:t>To maintain the confidentiality and integrity of sensitive information, the Animeta BrandStar Backend Microservice uses a secured channel for transmitting environment variables. This ensures that the server port, MongoDB connection details, access token, refresh token, Redis credentials, and Tubular credentials are securely passed to the microservice.</w:t>
      </w:r>
    </w:p>
    <w:p w:rsidR="644CD10C" w:rsidP="4692D324" w:rsidRDefault="644CD10C" w14:paraId="61FFFA56" w14:textId="6A10E221">
      <w:pPr>
        <w:pStyle w:val="Heading5"/>
      </w:pPr>
      <w:r w:rsidRPr="4692D324" w:rsidR="644CD10C">
        <w:rPr>
          <w:rFonts w:ascii="Open Sans" w:hAnsi="Open Sans" w:eastAsia="Open Sans" w:cs="Open Sans"/>
          <w:b w:val="1"/>
          <w:bCs w:val="1"/>
          <w:i w:val="0"/>
          <w:iCs w:val="0"/>
          <w:caps w:val="0"/>
          <w:smallCaps w:val="0"/>
          <w:noProof w:val="0"/>
          <w:color w:val="333333"/>
          <w:sz w:val="22"/>
          <w:szCs w:val="22"/>
          <w:lang w:val="en-US"/>
        </w:rPr>
        <w:t>Sub Microservices for Tubular API Interaction</w:t>
      </w:r>
    </w:p>
    <w:p w:rsidR="644CD10C" w:rsidP="4692D324" w:rsidRDefault="644CD10C" w14:paraId="708C5769" w14:textId="37A3A4CD">
      <w:pPr>
        <w:spacing w:before="0" w:beforeAutospacing="off" w:after="0" w:afterAutospacing="off"/>
      </w:pPr>
      <w:r w:rsidRPr="4692D324" w:rsidR="644CD10C">
        <w:rPr>
          <w:rFonts w:ascii="Open Sans" w:hAnsi="Open Sans" w:eastAsia="Open Sans" w:cs="Open Sans"/>
          <w:b w:val="0"/>
          <w:bCs w:val="0"/>
          <w:i w:val="0"/>
          <w:iCs w:val="0"/>
          <w:caps w:val="0"/>
          <w:smallCaps w:val="0"/>
          <w:noProof w:val="0"/>
          <w:color w:val="333333"/>
          <w:sz w:val="24"/>
          <w:szCs w:val="24"/>
          <w:lang w:val="en-US"/>
        </w:rPr>
        <w:t>The Animeta BrandStar Backend Microservice incorporates sub microservices that facilitate efficient interaction with the Tubular API. These sub microservices handle various operations related to Tubular API integration, ensuring optimized and streamlined communication between the microservice and the Tubular system.</w:t>
      </w:r>
    </w:p>
    <w:p w:rsidR="644CD10C" w:rsidP="4692D324" w:rsidRDefault="644CD10C" w14:paraId="4D0270AE" w14:textId="0F6C728A">
      <w:pPr>
        <w:pStyle w:val="Heading5"/>
      </w:pPr>
      <w:r w:rsidRPr="4692D324" w:rsidR="644CD10C">
        <w:rPr>
          <w:rFonts w:ascii="Open Sans" w:hAnsi="Open Sans" w:eastAsia="Open Sans" w:cs="Open Sans"/>
          <w:b w:val="1"/>
          <w:bCs w:val="1"/>
          <w:i w:val="0"/>
          <w:iCs w:val="0"/>
          <w:caps w:val="0"/>
          <w:smallCaps w:val="0"/>
          <w:noProof w:val="0"/>
          <w:color w:val="333333"/>
          <w:sz w:val="22"/>
          <w:szCs w:val="22"/>
          <w:lang w:val="en-US"/>
        </w:rPr>
        <w:t>Technical Architecture</w:t>
      </w:r>
    </w:p>
    <w:p w:rsidR="4692D324" w:rsidP="4692D324" w:rsidRDefault="4692D324" w14:paraId="48CF4F91" w14:textId="08FB9D0A">
      <w:pPr>
        <w:pStyle w:val="Normal"/>
        <w:spacing w:before="0" w:beforeAutospacing="off" w:after="0" w:afterAutospacing="off"/>
      </w:pPr>
    </w:p>
    <w:p w:rsidR="4692D324" w:rsidP="4692D324" w:rsidRDefault="4692D324" w14:paraId="17504CB4" w14:textId="52BBE99E">
      <w:pPr>
        <w:pStyle w:val="Normal"/>
        <w:spacing w:before="0" w:beforeAutospacing="off" w:after="0" w:afterAutospacing="off"/>
      </w:pPr>
    </w:p>
    <w:p w:rsidR="4692D324" w:rsidP="4692D324" w:rsidRDefault="4692D324" w14:paraId="68AB3E79" w14:textId="0591F509">
      <w:pPr>
        <w:pStyle w:val="Normal"/>
        <w:spacing w:before="0" w:beforeAutospacing="off" w:after="0" w:afterAutospacing="off"/>
      </w:pPr>
    </w:p>
    <w:p w:rsidR="4692D324" w:rsidP="4692D324" w:rsidRDefault="4692D324" w14:paraId="154EA79C" w14:textId="688BAF8C">
      <w:pPr>
        <w:pStyle w:val="Normal"/>
        <w:spacing w:before="0" w:beforeAutospacing="off" w:after="0" w:afterAutospacing="off"/>
      </w:pPr>
    </w:p>
    <w:p w:rsidR="4692D324" w:rsidP="4692D324" w:rsidRDefault="4692D324" w14:paraId="622DBE1A" w14:textId="5FC7A5BF">
      <w:pPr>
        <w:pStyle w:val="Normal"/>
        <w:spacing w:before="0" w:beforeAutospacing="off" w:after="0" w:afterAutospacing="off"/>
      </w:pPr>
    </w:p>
    <w:p w:rsidR="4692D324" w:rsidP="4692D324" w:rsidRDefault="4692D324" w14:paraId="0930AB77" w14:textId="6139B46D">
      <w:pPr>
        <w:pStyle w:val="Normal"/>
        <w:spacing w:before="0" w:beforeAutospacing="off" w:after="0" w:afterAutospacing="off"/>
      </w:pPr>
    </w:p>
    <w:p w:rsidR="4692D324" w:rsidP="4692D324" w:rsidRDefault="4692D324" w14:paraId="5E93CDAD" w14:textId="4471740F">
      <w:pPr>
        <w:pStyle w:val="Normal"/>
        <w:spacing w:before="0" w:beforeAutospacing="off" w:after="0" w:afterAutospacing="off"/>
      </w:pPr>
    </w:p>
    <w:p w:rsidR="4692D324" w:rsidP="4692D324" w:rsidRDefault="4692D324" w14:paraId="1BF69D9F" w14:textId="22E41FB9">
      <w:pPr>
        <w:pStyle w:val="Normal"/>
        <w:spacing w:before="0" w:beforeAutospacing="off" w:after="0" w:afterAutospacing="off"/>
      </w:pPr>
    </w:p>
    <w:p w:rsidR="4692D324" w:rsidP="4692D324" w:rsidRDefault="4692D324" w14:paraId="7CC68087" w14:textId="17FECF9E">
      <w:pPr>
        <w:pStyle w:val="Normal"/>
        <w:spacing w:before="0" w:beforeAutospacing="off" w:after="0" w:afterAutospacing="off"/>
      </w:pPr>
    </w:p>
    <w:p w:rsidR="4692D324" w:rsidP="4692D324" w:rsidRDefault="4692D324" w14:paraId="4F4EC09A" w14:textId="0167AD5F">
      <w:pPr>
        <w:pStyle w:val="Normal"/>
        <w:spacing w:before="0" w:beforeAutospacing="off" w:after="0" w:afterAutospacing="off"/>
      </w:pPr>
    </w:p>
    <w:p w:rsidR="4692D324" w:rsidP="4692D324" w:rsidRDefault="4692D324" w14:paraId="1B6728F6" w14:textId="5E0489AF">
      <w:pPr>
        <w:pStyle w:val="Normal"/>
        <w:spacing w:before="0" w:beforeAutospacing="off" w:after="0" w:afterAutospacing="off"/>
      </w:pPr>
    </w:p>
    <w:p w:rsidR="4692D324" w:rsidP="4692D324" w:rsidRDefault="4692D324" w14:paraId="13FF8FED" w14:textId="3EEDE6E0">
      <w:pPr>
        <w:pStyle w:val="Normal"/>
        <w:spacing w:before="0" w:beforeAutospacing="off" w:after="0" w:afterAutospacing="off"/>
      </w:pPr>
    </w:p>
    <w:p w:rsidR="4692D324" w:rsidP="4692D324" w:rsidRDefault="4692D324" w14:paraId="07A3948A" w14:textId="47926CCF">
      <w:pPr>
        <w:pStyle w:val="Normal"/>
        <w:spacing w:before="0" w:beforeAutospacing="off" w:after="0" w:afterAutospacing="off"/>
      </w:pPr>
    </w:p>
    <w:p w:rsidR="4D8A81A5" w:rsidP="4692D324" w:rsidRDefault="4D8A81A5" w14:paraId="750BA3E4" w14:textId="0ECE93F8">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Directory Structure =&gt;</w:t>
      </w:r>
    </w:p>
    <w:p w:rsidR="4D8A81A5" w:rsidP="4692D324" w:rsidRDefault="4D8A81A5" w14:paraId="0166B7AE" w14:textId="1B661920">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v1</w:t>
      </w:r>
    </w:p>
    <w:p w:rsidR="4D8A81A5" w:rsidP="4692D324" w:rsidRDefault="4D8A81A5" w14:paraId="5186011A" w14:textId="7DF38F08">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index.js</w:t>
      </w:r>
    </w:p>
    <w:p w:rsidR="4D8A81A5" w:rsidP="4692D324" w:rsidRDefault="4D8A81A5" w14:paraId="3B5FCD72" w14:textId="5C2B0605">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xml:space="preserve">└── </w:t>
      </w:r>
      <w:r w:rsidRPr="4692D324" w:rsidR="4D8A81A5">
        <w:rPr>
          <w:rFonts w:ascii="Consolas" w:hAnsi="Consolas" w:eastAsia="Consolas" w:cs="Consolas"/>
          <w:b w:val="1"/>
          <w:bCs w:val="1"/>
          <w:noProof w:val="0"/>
          <w:color w:val="000000" w:themeColor="text1" w:themeTint="FF" w:themeShade="FF"/>
          <w:sz w:val="21"/>
          <w:szCs w:val="21"/>
          <w:lang w:val="en-US"/>
        </w:rPr>
        <w:t>src</w:t>
      </w:r>
    </w:p>
    <w:p w:rsidR="4D8A81A5" w:rsidP="4692D324" w:rsidRDefault="4D8A81A5" w14:paraId="36CBC9ED" w14:textId="46BBF946">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middleware\</w:t>
      </w:r>
      <w:r w:rsidRPr="4692D324" w:rsidR="4D8A81A5">
        <w:rPr>
          <w:rFonts w:ascii="Consolas" w:hAnsi="Consolas" w:eastAsia="Consolas" w:cs="Consolas"/>
          <w:b w:val="1"/>
          <w:bCs w:val="1"/>
          <w:noProof w:val="0"/>
          <w:color w:val="000000" w:themeColor="text1" w:themeTint="FF" w:themeShade="FF"/>
          <w:sz w:val="21"/>
          <w:szCs w:val="21"/>
          <w:lang w:val="en-US"/>
        </w:rPr>
        <w:t>jwt</w:t>
      </w:r>
    </w:p>
    <w:p w:rsidR="4D8A81A5" w:rsidP="4692D324" w:rsidRDefault="4D8A81A5" w14:paraId="44A0B945" w14:textId="2C03BB64">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jwt.middleware.js</w:t>
      </w:r>
    </w:p>
    <w:p w:rsidR="4D8A81A5" w:rsidP="4692D324" w:rsidRDefault="4D8A81A5" w14:paraId="3FFBE804" w14:textId="715722FB">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models</w:t>
      </w:r>
    </w:p>
    <w:p w:rsidR="4D8A81A5" w:rsidP="4692D324" w:rsidRDefault="4D8A81A5" w14:paraId="5E1327EE" w14:textId="7B35F753">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logger.model.js</w:t>
      </w:r>
    </w:p>
    <w:p w:rsidR="4D8A81A5" w:rsidP="4692D324" w:rsidRDefault="4D8A81A5" w14:paraId="634BFD3F" w14:textId="104E7346">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mysql.model.js</w:t>
      </w:r>
    </w:p>
    <w:p w:rsidR="4D8A81A5" w:rsidP="4692D324" w:rsidRDefault="4D8A81A5" w14:paraId="3ADD69DB" w14:textId="59F8460D">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routes</w:t>
      </w:r>
    </w:p>
    <w:p w:rsidR="4D8A81A5" w:rsidP="4692D324" w:rsidRDefault="4D8A81A5" w14:paraId="6144BA16" w14:textId="4015F74B">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agents</w:t>
      </w:r>
    </w:p>
    <w:p w:rsidR="4D8A81A5" w:rsidP="4692D324" w:rsidRDefault="4D8A81A5" w14:paraId="748AC19B" w14:textId="3EA922CF">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 index.js</w:t>
      </w:r>
    </w:p>
    <w:p w:rsidR="4D8A81A5" w:rsidP="4692D324" w:rsidRDefault="4D8A81A5" w14:paraId="05334423" w14:textId="653EB60C">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dashboard</w:t>
      </w:r>
    </w:p>
    <w:p w:rsidR="4D8A81A5" w:rsidP="4692D324" w:rsidRDefault="4D8A81A5" w14:paraId="7CDDD45F" w14:textId="36513507">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 index.js</w:t>
      </w:r>
    </w:p>
    <w:p w:rsidR="4D8A81A5" w:rsidP="4692D324" w:rsidRDefault="4D8A81A5" w14:paraId="0E2150D9" w14:textId="429F1021">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leads</w:t>
      </w:r>
    </w:p>
    <w:p w:rsidR="4D8A81A5" w:rsidP="4692D324" w:rsidRDefault="4D8A81A5" w14:paraId="10E4506A" w14:textId="6DBE763B">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 index.js</w:t>
      </w:r>
    </w:p>
    <w:p w:rsidR="4D8A81A5" w:rsidP="4692D324" w:rsidRDefault="4D8A81A5" w14:paraId="41970844" w14:textId="65954BAE">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login</w:t>
      </w:r>
    </w:p>
    <w:p w:rsidR="4D8A81A5" w:rsidP="4692D324" w:rsidRDefault="4D8A81A5" w14:paraId="0C9FA7B9" w14:textId="22978D8E">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 index.js</w:t>
      </w:r>
    </w:p>
    <w:p w:rsidR="4D8A81A5" w:rsidP="4692D324" w:rsidRDefault="4D8A81A5" w14:paraId="291B9187" w14:textId="0B9349B5">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properties</w:t>
      </w:r>
    </w:p>
    <w:p w:rsidR="4D8A81A5" w:rsidP="4692D324" w:rsidRDefault="4D8A81A5" w14:paraId="480E8F07" w14:textId="63638D82">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 index.js</w:t>
      </w:r>
    </w:p>
    <w:p w:rsidR="4D8A81A5" w:rsidP="4692D324" w:rsidRDefault="4D8A81A5" w14:paraId="4AA270CD" w14:textId="5B4C0948">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settings</w:t>
      </w:r>
    </w:p>
    <w:p w:rsidR="4D8A81A5" w:rsidP="4692D324" w:rsidRDefault="4D8A81A5" w14:paraId="6A3D7D89" w14:textId="4C73E65F">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 index.js</w:t>
      </w:r>
    </w:p>
    <w:p w:rsidR="4D8A81A5" w:rsidP="4692D324" w:rsidRDefault="4D8A81A5" w14:paraId="26571752" w14:textId="03C8FC78">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index.js</w:t>
      </w:r>
    </w:p>
    <w:p w:rsidR="4D8A81A5" w:rsidP="4692D324" w:rsidRDefault="4D8A81A5" w14:paraId="3D9183BB" w14:textId="3DFCC76E">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setups</w:t>
      </w:r>
    </w:p>
    <w:p w:rsidR="4D8A81A5" w:rsidP="4692D324" w:rsidRDefault="4D8A81A5" w14:paraId="5723E63C" w14:textId="4FBDA585">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database</w:t>
      </w:r>
    </w:p>
    <w:p w:rsidR="4D8A81A5" w:rsidP="4692D324" w:rsidRDefault="4D8A81A5" w14:paraId="0E88F551" w14:textId="7EE0AB0A">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 database.setup.js</w:t>
      </w:r>
    </w:p>
    <w:p w:rsidR="4D8A81A5" w:rsidP="4692D324" w:rsidRDefault="4D8A81A5" w14:paraId="46E1DEEA" w14:textId="64F72210">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 mongoDb.js</w:t>
      </w:r>
    </w:p>
    <w:p w:rsidR="4D8A81A5" w:rsidP="4692D324" w:rsidRDefault="4D8A81A5" w14:paraId="073C460C" w14:textId="4BA00BFF">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logger</w:t>
      </w:r>
    </w:p>
    <w:p w:rsidR="4D8A81A5" w:rsidP="4692D324" w:rsidRDefault="4D8A81A5" w14:paraId="5AB91722" w14:textId="37F0E5BC">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 logger.setup.js</w:t>
      </w:r>
    </w:p>
    <w:p w:rsidR="4D8A81A5" w:rsidP="4692D324" w:rsidRDefault="4D8A81A5" w14:paraId="4F23093D" w14:textId="6A4F00DF">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query</w:t>
      </w:r>
    </w:p>
    <w:p w:rsidR="4D8A81A5" w:rsidP="4692D324" w:rsidRDefault="4D8A81A5" w14:paraId="7A6FC9F3" w14:textId="082BC0AB">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 query.agent.js</w:t>
      </w:r>
    </w:p>
    <w:p w:rsidR="4D8A81A5" w:rsidP="4692D324" w:rsidRDefault="4D8A81A5" w14:paraId="2D70D0B9" w14:textId="7819F0C8">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 query.dashboard.js</w:t>
      </w:r>
    </w:p>
    <w:p w:rsidR="4D8A81A5" w:rsidP="4692D324" w:rsidRDefault="4D8A81A5" w14:paraId="759C4F1C" w14:textId="688C4A15">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 query.profile.js</w:t>
      </w:r>
    </w:p>
    <w:p w:rsidR="4D8A81A5" w:rsidP="4692D324" w:rsidRDefault="4D8A81A5" w14:paraId="2C2F85E5" w14:textId="43C73D91">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 query.properties.js</w:t>
      </w:r>
    </w:p>
    <w:p w:rsidR="4D8A81A5" w:rsidP="4692D324" w:rsidRDefault="4D8A81A5" w14:paraId="2434F5E9" w14:textId="5F7A17B0">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 query.server.js</w:t>
      </w:r>
    </w:p>
    <w:p w:rsidR="4D8A81A5" w:rsidP="4692D324" w:rsidRDefault="4D8A81A5" w14:paraId="5535A362" w14:textId="119EE950">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 query.settings.js</w:t>
      </w:r>
    </w:p>
    <w:p w:rsidR="4D8A81A5" w:rsidP="4692D324" w:rsidRDefault="4D8A81A5" w14:paraId="0A0D788F" w14:textId="2625061D">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server</w:t>
      </w:r>
    </w:p>
    <w:p w:rsidR="4D8A81A5" w:rsidP="4692D324" w:rsidRDefault="4D8A81A5" w14:paraId="48F23CE8" w14:textId="6ABBE82B">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server.setup.js</w:t>
      </w:r>
    </w:p>
    <w:p w:rsidR="4D8A81A5" w:rsidP="4692D324" w:rsidRDefault="4D8A81A5" w14:paraId="3506B433" w14:textId="370E8B6B">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utilities</w:t>
      </w:r>
    </w:p>
    <w:p w:rsidR="4D8A81A5" w:rsidP="4692D324" w:rsidRDefault="4D8A81A5" w14:paraId="65FA61E5" w14:textId="0B7AC7CA">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cache.utility.js</w:t>
      </w:r>
    </w:p>
    <w:p w:rsidR="4D8A81A5" w:rsidP="4692D324" w:rsidRDefault="4D8A81A5" w14:paraId="6C6414C2" w14:textId="65551780">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decrypt.utility.js</w:t>
      </w:r>
    </w:p>
    <w:p w:rsidR="4D8A81A5" w:rsidP="4692D324" w:rsidRDefault="4D8A81A5" w14:paraId="2DD4CA0E" w14:textId="11E62990">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encrypt.utility.js</w:t>
      </w:r>
    </w:p>
    <w:p w:rsidR="4D8A81A5" w:rsidP="4692D324" w:rsidRDefault="4D8A81A5" w14:paraId="1CD02125" w14:textId="307F981B">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filter.utility.js</w:t>
      </w:r>
    </w:p>
    <w:p w:rsidR="4D8A81A5" w:rsidP="4692D324" w:rsidRDefault="4D8A81A5" w14:paraId="2397E069" w14:textId="78593264">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jwt.utility.js</w:t>
      </w:r>
    </w:p>
    <w:p w:rsidR="4D8A81A5" w:rsidP="4692D324" w:rsidRDefault="4D8A81A5" w14:paraId="7166335A" w14:textId="3CD2307C">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otp.utility.js</w:t>
      </w:r>
    </w:p>
    <w:p w:rsidR="4D8A81A5" w:rsidP="4692D324" w:rsidRDefault="4D8A81A5" w14:paraId="4033DCC9" w14:textId="21A8CC25">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password.utility.js</w:t>
      </w:r>
    </w:p>
    <w:p w:rsidR="4D8A81A5" w:rsidP="4692D324" w:rsidRDefault="4D8A81A5" w14:paraId="3018935F" w14:textId="43DE6382">
      <w:pPr>
        <w:spacing w:before="0" w:beforeAutospacing="off" w:after="0" w:afterAutospacing="off" w:line="285" w:lineRule="exact"/>
        <w:rPr>
          <w:rFonts w:ascii="Consolas" w:hAnsi="Consolas" w:eastAsia="Consolas" w:cs="Consolas"/>
          <w:b w:val="1"/>
          <w:bCs w:val="1"/>
          <w:noProof w:val="0"/>
          <w:color w:val="000000" w:themeColor="text1" w:themeTint="FF" w:themeShade="FF"/>
          <w:sz w:val="21"/>
          <w:szCs w:val="21"/>
          <w:lang w:val="en-US"/>
        </w:rPr>
      </w:pPr>
      <w:r w:rsidRPr="4692D324" w:rsidR="4D8A81A5">
        <w:rPr>
          <w:rFonts w:ascii="Consolas" w:hAnsi="Consolas" w:eastAsia="Consolas" w:cs="Consolas"/>
          <w:b w:val="1"/>
          <w:bCs w:val="1"/>
          <w:noProof w:val="0"/>
          <w:color w:val="000000" w:themeColor="text1" w:themeTint="FF" w:themeShade="FF"/>
          <w:sz w:val="21"/>
          <w:szCs w:val="21"/>
          <w:lang w:val="en-US"/>
        </w:rPr>
        <w:t>│ └── sms.utility.js</w:t>
      </w:r>
    </w:p>
    <w:p w:rsidR="4D8A81A5" w:rsidP="4692D324" w:rsidRDefault="4D8A81A5" w14:paraId="3B245879" w14:textId="1C408238">
      <w:pPr>
        <w:spacing w:before="0" w:beforeAutospacing="off" w:after="0" w:afterAutospacing="off" w:line="285" w:lineRule="exact"/>
      </w:pPr>
      <w:r>
        <w:br/>
      </w:r>
    </w:p>
    <w:p w:rsidR="4692D324" w:rsidP="4692D324" w:rsidRDefault="4692D324" w14:paraId="1562DC16" w14:textId="220BD2D1">
      <w:pPr>
        <w:pStyle w:val="Normal"/>
        <w:spacing w:before="0" w:beforeAutospacing="off" w:after="0" w:afterAutospacing="off"/>
      </w:pPr>
    </w:p>
    <w:p w:rsidR="4692D324" w:rsidP="4692D324" w:rsidRDefault="4692D324" w14:paraId="09F33D2A" w14:textId="0A6A0E11">
      <w:pPr>
        <w:pStyle w:val="Normal"/>
        <w:spacing w:before="0" w:beforeAutospacing="off" w:after="0" w:afterAutospacing="off"/>
      </w:pPr>
    </w:p>
    <w:p w:rsidR="4692D324" w:rsidP="4692D324" w:rsidRDefault="4692D324" w14:paraId="19DF1E0A" w14:textId="33889B60">
      <w:pPr>
        <w:pStyle w:val="Normal"/>
        <w:spacing w:before="0" w:beforeAutospacing="off" w:after="0" w:afterAutospacing="off"/>
      </w:pPr>
    </w:p>
    <w:p w:rsidR="4692D324" w:rsidP="4692D324" w:rsidRDefault="4692D324" w14:paraId="7AE83FFF" w14:textId="08C15B8B">
      <w:pPr>
        <w:pStyle w:val="Normal"/>
        <w:spacing w:before="0" w:beforeAutospacing="off" w:after="0" w:afterAutospacing="off"/>
      </w:pPr>
    </w:p>
    <w:p w:rsidR="4692D324" w:rsidP="4692D324" w:rsidRDefault="4692D324" w14:paraId="3D17B72D" w14:textId="3C9E9E64">
      <w:pPr>
        <w:pStyle w:val="Normal"/>
        <w:spacing w:before="0" w:beforeAutospacing="off" w:after="0" w:afterAutospacing="off"/>
      </w:pPr>
    </w:p>
    <w:p w:rsidR="4692D324" w:rsidP="4692D324" w:rsidRDefault="4692D324" w14:paraId="7B35988F" w14:textId="69070DFB">
      <w:pPr>
        <w:pStyle w:val="Normal"/>
        <w:spacing w:before="0" w:beforeAutospacing="off" w:after="0" w:afterAutospacing="off"/>
      </w:pPr>
    </w:p>
    <w:p w:rsidR="4692D324" w:rsidP="4692D324" w:rsidRDefault="4692D324" w14:paraId="6B4624CB" w14:textId="4D043A90">
      <w:pPr>
        <w:pStyle w:val="Normal"/>
        <w:spacing w:before="0" w:beforeAutospacing="off" w:after="0" w:afterAutospacing="off"/>
      </w:pPr>
    </w:p>
    <w:p w:rsidR="4692D324" w:rsidP="4692D324" w:rsidRDefault="4692D324" w14:paraId="562F9A61" w14:textId="24D2EBCE">
      <w:pPr>
        <w:pStyle w:val="Normal"/>
        <w:spacing w:before="0" w:beforeAutospacing="off" w:after="0" w:afterAutospacing="off"/>
      </w:pPr>
    </w:p>
    <w:p w:rsidR="4692D324" w:rsidP="4692D324" w:rsidRDefault="4692D324" w14:paraId="1C4C40BC" w14:textId="073BA0E9">
      <w:pPr>
        <w:pStyle w:val="Normal"/>
        <w:spacing w:before="0" w:beforeAutospacing="off" w:after="0" w:afterAutospacing="off"/>
      </w:pPr>
    </w:p>
    <w:p w:rsidR="4692D324" w:rsidP="4692D324" w:rsidRDefault="4692D324" w14:paraId="5E0FC52A" w14:textId="476A5500">
      <w:pPr>
        <w:pStyle w:val="Normal"/>
        <w:spacing w:before="0" w:beforeAutospacing="off" w:after="0" w:afterAutospacing="off"/>
      </w:pPr>
    </w:p>
    <w:p w:rsidR="4692D324" w:rsidP="4692D324" w:rsidRDefault="4692D324" w14:paraId="18E6E589" w14:textId="7EA09133">
      <w:pPr>
        <w:pStyle w:val="Normal"/>
        <w:spacing w:before="0" w:beforeAutospacing="off" w:after="0" w:afterAutospacing="off"/>
      </w:pPr>
    </w:p>
    <w:p w:rsidR="4692D324" w:rsidP="4692D324" w:rsidRDefault="4692D324" w14:paraId="000C0F3C" w14:textId="6880EB72">
      <w:pPr>
        <w:pStyle w:val="Normal"/>
        <w:spacing w:before="0" w:beforeAutospacing="off" w:after="0" w:afterAutospacing="off"/>
      </w:pPr>
    </w:p>
    <w:p w:rsidR="4692D324" w:rsidP="4692D324" w:rsidRDefault="4692D324" w14:paraId="1F662D26" w14:textId="2577591A">
      <w:pPr>
        <w:pStyle w:val="Normal"/>
        <w:spacing w:before="0" w:beforeAutospacing="off" w:after="0" w:afterAutospacing="off"/>
      </w:pPr>
    </w:p>
    <w:p w:rsidR="4692D324" w:rsidP="4692D324" w:rsidRDefault="4692D324" w14:paraId="487F9763" w14:textId="4661EC99">
      <w:pPr>
        <w:pStyle w:val="Normal"/>
        <w:spacing w:before="0" w:beforeAutospacing="off" w:after="0" w:afterAutospacing="off"/>
      </w:pPr>
    </w:p>
    <w:p w:rsidR="4692D324" w:rsidP="4692D324" w:rsidRDefault="4692D324" w14:paraId="1BE2DBB8" w14:textId="44D165E9">
      <w:pPr>
        <w:pStyle w:val="Normal"/>
        <w:spacing w:before="0" w:beforeAutospacing="off" w:after="0" w:afterAutospacing="off"/>
      </w:pPr>
    </w:p>
    <w:p w:rsidR="4692D324" w:rsidP="4692D324" w:rsidRDefault="4692D324" w14:paraId="61B651B0" w14:textId="53EDE115">
      <w:pPr>
        <w:pStyle w:val="Normal"/>
        <w:spacing w:before="0" w:beforeAutospacing="off" w:after="0" w:afterAutospacing="off"/>
      </w:pPr>
    </w:p>
    <w:p w:rsidR="0EE90003" w:rsidP="4692D324" w:rsidRDefault="0EE90003" w14:paraId="061687C6" w14:textId="1F8EF648">
      <w:pPr>
        <w:pStyle w:val="Heading5"/>
        <w:spacing w:before="0" w:beforeAutospacing="off" w:after="0" w:afterAutospacing="off"/>
      </w:pPr>
      <w:r w:rsidRPr="4692D324" w:rsidR="0EE90003">
        <w:rPr>
          <w:rFonts w:ascii="Open Sans" w:hAnsi="Open Sans" w:eastAsia="Open Sans" w:cs="Open Sans"/>
          <w:b w:val="1"/>
          <w:bCs w:val="1"/>
          <w:i w:val="0"/>
          <w:iCs w:val="0"/>
          <w:caps w:val="0"/>
          <w:smallCaps w:val="0"/>
          <w:noProof w:val="0"/>
          <w:color w:val="333333"/>
          <w:sz w:val="22"/>
          <w:szCs w:val="22"/>
          <w:lang w:val="en-US"/>
        </w:rPr>
        <w:t xml:space="preserve">APIs </w:t>
      </w:r>
      <w:hyperlink r:id="Rabca34bd517f4c11">
        <w:r w:rsidRPr="4692D324" w:rsidR="0EE90003">
          <w:rPr>
            <w:rStyle w:val="Hyperlink"/>
            <w:rFonts w:ascii="Open Sans" w:hAnsi="Open Sans" w:eastAsia="Open Sans" w:cs="Open Sans"/>
            <w:b w:val="1"/>
            <w:bCs w:val="1"/>
            <w:i w:val="0"/>
            <w:iCs w:val="0"/>
            <w:caps w:val="0"/>
            <w:smallCaps w:val="0"/>
            <w:noProof w:val="0"/>
            <w:sz w:val="22"/>
            <w:szCs w:val="22"/>
            <w:lang w:val="en-US"/>
          </w:rPr>
          <w:t>PostMan Doc</w:t>
        </w:r>
      </w:hyperlink>
    </w:p>
    <w:tbl>
      <w:tblPr>
        <w:tblStyle w:val="TableNormal"/>
        <w:tblW w:w="0" w:type="auto"/>
        <w:tblLayout w:type="fixed"/>
        <w:tblLook w:val="06A0" w:firstRow="1" w:lastRow="0" w:firstColumn="1" w:lastColumn="0" w:noHBand="1" w:noVBand="1"/>
      </w:tblPr>
      <w:tblGrid>
        <w:gridCol w:w="1872"/>
        <w:gridCol w:w="1872"/>
        <w:gridCol w:w="1872"/>
        <w:gridCol w:w="1872"/>
        <w:gridCol w:w="1872"/>
      </w:tblGrid>
      <w:tr w:rsidR="4692D324" w:rsidTr="4692D324" w14:paraId="69CBE8E9">
        <w:trPr>
          <w:trHeight w:val="300"/>
        </w:trPr>
        <w:tc>
          <w:tcPr>
            <w:tcW w:w="1872" w:type="dxa"/>
            <w:tcBorders>
              <w:top w:val="single" w:color="DFE2E5" w:sz="6"/>
              <w:left w:val="single" w:color="DFE2E5" w:sz="6"/>
              <w:bottom w:val="single" w:sz="0"/>
              <w:right w:val="single" w:color="DFE2E5" w:sz="6"/>
            </w:tcBorders>
            <w:tcMar>
              <w:top w:w="90" w:type="dxa"/>
              <w:left w:w="195" w:type="dxa"/>
              <w:bottom w:w="90" w:type="dxa"/>
              <w:right w:w="195" w:type="dxa"/>
            </w:tcMar>
            <w:vAlign w:val="center"/>
          </w:tcPr>
          <w:p w:rsidR="4692D324" w:rsidP="4692D324" w:rsidRDefault="4692D324" w14:paraId="6EF96E1C" w14:textId="254B538B">
            <w:pPr>
              <w:spacing w:before="0" w:beforeAutospacing="off" w:after="0" w:afterAutospacing="off"/>
              <w:jc w:val="center"/>
            </w:pPr>
            <w:r w:rsidRPr="4692D324" w:rsidR="4692D324">
              <w:rPr>
                <w:b w:val="1"/>
                <w:bCs w:val="1"/>
              </w:rPr>
              <w:t>S.no</w:t>
            </w:r>
          </w:p>
        </w:tc>
        <w:tc>
          <w:tcPr>
            <w:tcW w:w="1872" w:type="dxa"/>
            <w:tcBorders>
              <w:top w:val="single" w:color="DFE2E5" w:sz="6"/>
              <w:left w:val="single" w:color="DFE2E5" w:sz="6"/>
              <w:bottom w:val="single" w:sz="0"/>
              <w:right w:val="single" w:color="DFE2E5" w:sz="6"/>
            </w:tcBorders>
            <w:tcMar>
              <w:top w:w="90" w:type="dxa"/>
              <w:left w:w="195" w:type="dxa"/>
              <w:bottom w:w="90" w:type="dxa"/>
              <w:right w:w="195" w:type="dxa"/>
            </w:tcMar>
            <w:vAlign w:val="center"/>
          </w:tcPr>
          <w:p w:rsidR="4692D324" w:rsidP="4692D324" w:rsidRDefault="4692D324" w14:paraId="6AB7EBB5" w14:textId="508E0318">
            <w:pPr>
              <w:spacing w:before="0" w:beforeAutospacing="off" w:after="0" w:afterAutospacing="off"/>
              <w:jc w:val="center"/>
            </w:pPr>
            <w:r w:rsidRPr="4692D324" w:rsidR="4692D324">
              <w:rPr>
                <w:b w:val="1"/>
                <w:bCs w:val="1"/>
              </w:rPr>
              <w:t>Title</w:t>
            </w:r>
          </w:p>
        </w:tc>
        <w:tc>
          <w:tcPr>
            <w:tcW w:w="1872" w:type="dxa"/>
            <w:tcBorders>
              <w:top w:val="single" w:color="DFE2E5" w:sz="6"/>
              <w:left w:val="single" w:color="DFE2E5" w:sz="6"/>
              <w:bottom w:val="single" w:sz="0"/>
              <w:right w:val="single" w:color="DFE2E5" w:sz="6"/>
            </w:tcBorders>
            <w:tcMar>
              <w:top w:w="90" w:type="dxa"/>
              <w:left w:w="195" w:type="dxa"/>
              <w:bottom w:w="90" w:type="dxa"/>
              <w:right w:w="195" w:type="dxa"/>
            </w:tcMar>
            <w:vAlign w:val="center"/>
          </w:tcPr>
          <w:p w:rsidR="4692D324" w:rsidP="4692D324" w:rsidRDefault="4692D324" w14:paraId="14FFA68D" w14:textId="7577E5F8">
            <w:pPr>
              <w:spacing w:before="0" w:beforeAutospacing="off" w:after="0" w:afterAutospacing="off"/>
              <w:jc w:val="center"/>
            </w:pPr>
            <w:r w:rsidRPr="4692D324" w:rsidR="4692D324">
              <w:rPr>
                <w:b w:val="1"/>
                <w:bCs w:val="1"/>
              </w:rPr>
              <w:t>Description</w:t>
            </w:r>
          </w:p>
        </w:tc>
        <w:tc>
          <w:tcPr>
            <w:tcW w:w="1872" w:type="dxa"/>
            <w:tcBorders>
              <w:top w:val="single" w:color="DFE2E5" w:sz="6"/>
              <w:left w:val="single" w:color="DFE2E5" w:sz="6"/>
              <w:bottom w:val="single" w:sz="0"/>
              <w:right w:val="single" w:color="DFE2E5" w:sz="6"/>
            </w:tcBorders>
            <w:tcMar>
              <w:top w:w="90" w:type="dxa"/>
              <w:left w:w="195" w:type="dxa"/>
              <w:bottom w:w="90" w:type="dxa"/>
              <w:right w:w="195" w:type="dxa"/>
            </w:tcMar>
            <w:vAlign w:val="center"/>
          </w:tcPr>
          <w:p w:rsidR="4692D324" w:rsidP="4692D324" w:rsidRDefault="4692D324" w14:paraId="68FCD725" w14:textId="0239B793">
            <w:pPr>
              <w:spacing w:before="0" w:beforeAutospacing="off" w:after="0" w:afterAutospacing="off"/>
              <w:jc w:val="center"/>
            </w:pPr>
            <w:r w:rsidRPr="4692D324" w:rsidR="4692D324">
              <w:rPr>
                <w:b w:val="1"/>
                <w:bCs w:val="1"/>
              </w:rPr>
              <w:t>Endpoint</w:t>
            </w:r>
          </w:p>
        </w:tc>
        <w:tc>
          <w:tcPr>
            <w:tcW w:w="1872" w:type="dxa"/>
            <w:tcBorders>
              <w:top w:val="single" w:color="DFE2E5" w:sz="6"/>
              <w:left w:val="single" w:color="DFE2E5" w:sz="6"/>
              <w:bottom w:val="single" w:sz="0"/>
              <w:right w:val="single" w:color="DFE2E5" w:sz="6"/>
            </w:tcBorders>
            <w:tcMar>
              <w:top w:w="90" w:type="dxa"/>
              <w:left w:w="195" w:type="dxa"/>
              <w:bottom w:w="90" w:type="dxa"/>
              <w:right w:w="195" w:type="dxa"/>
            </w:tcMar>
            <w:vAlign w:val="center"/>
          </w:tcPr>
          <w:p w:rsidR="4692D324" w:rsidP="4692D324" w:rsidRDefault="4692D324" w14:paraId="00A864DE" w14:textId="388CB437">
            <w:pPr>
              <w:spacing w:before="0" w:beforeAutospacing="off" w:after="0" w:afterAutospacing="off"/>
              <w:jc w:val="center"/>
            </w:pPr>
            <w:r w:rsidRPr="4692D324" w:rsidR="4692D324">
              <w:rPr>
                <w:b w:val="1"/>
                <w:bCs w:val="1"/>
              </w:rPr>
              <w:t>Method</w:t>
            </w:r>
          </w:p>
        </w:tc>
      </w:tr>
      <w:tr w:rsidR="4692D324" w:rsidTr="4692D324" w14:paraId="387FE8C9">
        <w:trPr>
          <w:trHeight w:val="300"/>
        </w:trPr>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08F5B975" w14:textId="1A824F34">
            <w:pPr>
              <w:spacing w:before="0" w:beforeAutospacing="off" w:after="0" w:afterAutospacing="off"/>
              <w:jc w:val="left"/>
            </w:pPr>
            <w:r w:rsidR="4692D324">
              <w:rPr/>
              <w:t>1.</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69E72F6D" w14:textId="2E8BE438">
            <w:pPr>
              <w:spacing w:before="0" w:beforeAutospacing="off" w:after="0" w:afterAutospacing="off"/>
              <w:jc w:val="left"/>
            </w:pPr>
            <w:r w:rsidR="4692D324">
              <w:rPr/>
              <w:t>Base: No Route</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7FC2152A" w14:textId="6E9290C7">
            <w:pPr>
              <w:spacing w:before="0" w:beforeAutospacing="off" w:after="0" w:afterAutospacing="off"/>
              <w:jc w:val="left"/>
            </w:pPr>
            <w:r w:rsidR="4692D324">
              <w:rPr/>
              <w:t>Public route for checking server docs</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133D6918" w14:textId="655D7064">
            <w:pPr>
              <w:spacing w:before="0" w:beforeAutospacing="off" w:after="0" w:afterAutospacing="off"/>
              <w:jc w:val="left"/>
            </w:pPr>
            <w:r w:rsidR="4692D324">
              <w:rPr/>
              <w:t>/</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5C2B3E60" w14:textId="483E2BDE">
            <w:pPr>
              <w:spacing w:before="0" w:beforeAutospacing="off" w:after="0" w:afterAutospacing="off"/>
              <w:jc w:val="left"/>
            </w:pPr>
            <w:r w:rsidR="4692D324">
              <w:rPr/>
              <w:t>GET</w:t>
            </w:r>
          </w:p>
        </w:tc>
      </w:tr>
      <w:tr w:rsidR="4692D324" w:rsidTr="4692D324" w14:paraId="58976312">
        <w:trPr>
          <w:trHeight w:val="300"/>
        </w:trPr>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0676B475" w14:textId="67F99271">
            <w:pPr>
              <w:spacing w:before="0" w:beforeAutospacing="off" w:after="0" w:afterAutospacing="off"/>
              <w:jc w:val="left"/>
            </w:pPr>
            <w:r w:rsidR="4692D324">
              <w:rPr/>
              <w:t>2.</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0E5D5A0B" w14:textId="2F16FC96">
            <w:pPr>
              <w:spacing w:before="0" w:beforeAutospacing="off" w:after="0" w:afterAutospacing="off"/>
              <w:jc w:val="left"/>
            </w:pPr>
            <w:r w:rsidR="4692D324">
              <w:rPr/>
              <w:t>Invalid Route</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55055A5D" w14:textId="644E57D9">
            <w:pPr>
              <w:spacing w:before="0" w:beforeAutospacing="off" w:after="0" w:afterAutospacing="off"/>
              <w:jc w:val="left"/>
            </w:pPr>
            <w:r w:rsidR="4692D324">
              <w:rPr/>
              <w:t>Invalid route request handler</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5EE978D7" w14:textId="7D309239">
            <w:pPr>
              <w:spacing w:before="0" w:beforeAutospacing="off" w:after="0" w:afterAutospacing="off"/>
              <w:jc w:val="left"/>
            </w:pPr>
            <w:r w:rsidR="4692D324">
              <w:rPr/>
              <w:t>/{anything-undefined}</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71181C38" w14:textId="671F699B">
            <w:pPr>
              <w:spacing w:before="0" w:beforeAutospacing="off" w:after="0" w:afterAutospacing="off"/>
              <w:jc w:val="left"/>
            </w:pPr>
            <w:r w:rsidR="4692D324">
              <w:rPr/>
              <w:t>*</w:t>
            </w:r>
          </w:p>
        </w:tc>
      </w:tr>
      <w:tr w:rsidR="4692D324" w:rsidTr="4692D324" w14:paraId="633DF707">
        <w:trPr>
          <w:trHeight w:val="300"/>
        </w:trPr>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1542F32F" w14:textId="0CD8DB76">
            <w:pPr>
              <w:spacing w:before="0" w:beforeAutospacing="off" w:after="0" w:afterAutospacing="off"/>
              <w:jc w:val="left"/>
            </w:pPr>
            <w:r w:rsidR="4692D324">
              <w:rPr/>
              <w:t>3.</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0BB74466" w14:textId="23B62D8E">
            <w:pPr>
              <w:spacing w:before="0" w:beforeAutospacing="off" w:after="0" w:afterAutospacing="off"/>
              <w:jc w:val="left"/>
            </w:pPr>
            <w:r w:rsidR="4692D324">
              <w:rPr/>
              <w:t>Search Creators</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6EDB9800" w14:textId="442CA003">
            <w:pPr>
              <w:spacing w:before="0" w:beforeAutospacing="off" w:after="0" w:afterAutospacing="off"/>
              <w:jc w:val="left"/>
            </w:pPr>
            <w:r w:rsidR="4692D324">
              <w:rPr/>
              <w:t>Search creator from tubular microservice API with or without filters</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6C6B0ACC" w14:textId="26468DEE">
            <w:pPr>
              <w:spacing w:before="0" w:beforeAutospacing="off" w:after="0" w:afterAutospacing="off"/>
              <w:jc w:val="left"/>
            </w:pPr>
            <w:r w:rsidR="4692D324">
              <w:rPr/>
              <w:t>/app/v1/brandstar/creators/find/:brandName</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5ECF57FF" w14:textId="09412D6C">
            <w:pPr>
              <w:spacing w:before="0" w:beforeAutospacing="off" w:after="0" w:afterAutospacing="off"/>
              <w:jc w:val="left"/>
            </w:pPr>
            <w:r w:rsidR="4692D324">
              <w:rPr/>
              <w:t>POST</w:t>
            </w:r>
          </w:p>
        </w:tc>
      </w:tr>
      <w:tr w:rsidR="4692D324" w:rsidTr="4692D324" w14:paraId="0738667A">
        <w:trPr>
          <w:trHeight w:val="300"/>
        </w:trPr>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3916D9CA" w14:textId="3961954E">
            <w:pPr>
              <w:spacing w:before="0" w:beforeAutospacing="off" w:after="0" w:afterAutospacing="off"/>
              <w:jc w:val="left"/>
            </w:pPr>
            <w:r w:rsidR="4692D324">
              <w:rPr/>
              <w:t>4</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4A558FC0" w14:textId="02129716">
            <w:pPr>
              <w:spacing w:before="0" w:beforeAutospacing="off" w:after="0" w:afterAutospacing="off"/>
              <w:jc w:val="left"/>
            </w:pPr>
            <w:r w:rsidR="4692D324">
              <w:rPr/>
              <w:t>Search Creator Performance</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3449FB11" w14:textId="70AEDFE6">
            <w:pPr>
              <w:spacing w:before="0" w:beforeAutospacing="off" w:after="0" w:afterAutospacing="off"/>
              <w:jc w:val="left"/>
            </w:pPr>
            <w:r w:rsidR="4692D324">
              <w:rPr/>
              <w:t>Search creator from tubular microservice API, and in return get performance trend of creators</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742F6AB7" w14:textId="52281BD6">
            <w:pPr>
              <w:spacing w:before="0" w:beforeAutospacing="off" w:after="0" w:afterAutospacing="off"/>
              <w:jc w:val="left"/>
            </w:pPr>
            <w:r w:rsidR="4692D324">
              <w:rPr/>
              <w:t>/app/v1/brandstar/creators/monthly-trend/:brandName</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217F549A" w14:textId="7FF293B1">
            <w:pPr>
              <w:spacing w:before="0" w:beforeAutospacing="off" w:after="0" w:afterAutospacing="off"/>
              <w:jc w:val="left"/>
            </w:pPr>
            <w:r w:rsidR="4692D324">
              <w:rPr/>
              <w:t>POST</w:t>
            </w:r>
          </w:p>
        </w:tc>
      </w:tr>
      <w:tr w:rsidR="4692D324" w:rsidTr="4692D324" w14:paraId="004973C9">
        <w:trPr>
          <w:trHeight w:val="300"/>
        </w:trPr>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6D8D4E27" w14:textId="6C62A6B9">
            <w:pPr>
              <w:spacing w:before="0" w:beforeAutospacing="off" w:after="0" w:afterAutospacing="off"/>
              <w:jc w:val="left"/>
            </w:pPr>
            <w:r w:rsidR="4692D324">
              <w:rPr/>
              <w:t>5</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443F86ED" w14:textId="3D9D388C">
            <w:pPr>
              <w:spacing w:before="0" w:beforeAutospacing="off" w:after="0" w:afterAutospacing="off"/>
              <w:jc w:val="left"/>
            </w:pPr>
            <w:r w:rsidR="4692D324">
              <w:rPr/>
              <w:t>Save My List</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5FB32A01" w14:textId="3CB8CBE5">
            <w:pPr>
              <w:spacing w:before="0" w:beforeAutospacing="off" w:after="0" w:afterAutospacing="off"/>
              <w:jc w:val="left"/>
            </w:pPr>
            <w:r w:rsidR="4692D324">
              <w:rPr/>
              <w:t>Brands can save list of creators by creators along with their group name</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5584C81C" w14:textId="38DE7CE8">
            <w:pPr>
              <w:spacing w:before="0" w:beforeAutospacing="off" w:after="0" w:afterAutospacing="off"/>
              <w:jc w:val="left"/>
            </w:pPr>
            <w:r w:rsidR="4692D324">
              <w:rPr/>
              <w:t>/app/v1/brandstar/brands/mylist-add/:brandName</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0226DC95" w14:textId="3AB6000D">
            <w:pPr>
              <w:spacing w:before="0" w:beforeAutospacing="off" w:after="0" w:afterAutospacing="off"/>
              <w:jc w:val="left"/>
            </w:pPr>
            <w:r w:rsidR="4692D324">
              <w:rPr/>
              <w:t>POST</w:t>
            </w:r>
          </w:p>
        </w:tc>
      </w:tr>
      <w:tr w:rsidR="4692D324" w:rsidTr="4692D324" w14:paraId="11EB452E">
        <w:trPr>
          <w:trHeight w:val="300"/>
        </w:trPr>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3F40D9F2" w14:textId="00881A3A">
            <w:pPr>
              <w:spacing w:before="0" w:beforeAutospacing="off" w:after="0" w:afterAutospacing="off"/>
              <w:jc w:val="left"/>
            </w:pPr>
            <w:r w:rsidR="4692D324">
              <w:rPr/>
              <w:t>6</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66B9B9A4" w14:textId="7FC7AFDC">
            <w:pPr>
              <w:spacing w:before="0" w:beforeAutospacing="off" w:after="0" w:afterAutospacing="off"/>
              <w:jc w:val="left"/>
            </w:pPr>
            <w:r w:rsidR="4692D324">
              <w:rPr/>
              <w:t>Get Saved Lists</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40C5C495" w14:textId="3CD06165">
            <w:pPr>
              <w:spacing w:before="0" w:beforeAutospacing="off" w:after="0" w:afterAutospacing="off"/>
              <w:jc w:val="left"/>
            </w:pPr>
            <w:r w:rsidR="4692D324">
              <w:rPr/>
              <w:t>All saved lists will be fetched by brand's name</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2CEEB059" w14:textId="7566747D">
            <w:pPr>
              <w:spacing w:before="0" w:beforeAutospacing="off" w:after="0" w:afterAutospacing="off"/>
              <w:jc w:val="left"/>
            </w:pPr>
            <w:r w:rsidR="4692D324">
              <w:rPr/>
              <w:t>/app/v1/brandstar/brands/mylist-fetch/:brandName</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165AE11C" w14:textId="6EADDA38">
            <w:pPr>
              <w:spacing w:before="0" w:beforeAutospacing="off" w:after="0" w:afterAutospacing="off"/>
              <w:jc w:val="left"/>
            </w:pPr>
            <w:r w:rsidR="4692D324">
              <w:rPr/>
              <w:t>GET</w:t>
            </w:r>
          </w:p>
        </w:tc>
      </w:tr>
      <w:tr w:rsidR="4692D324" w:rsidTr="4692D324" w14:paraId="0A80B937">
        <w:trPr>
          <w:trHeight w:val="300"/>
        </w:trPr>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0B7AD22F" w14:textId="399144EE">
            <w:pPr>
              <w:spacing w:before="0" w:beforeAutospacing="off" w:after="0" w:afterAutospacing="off"/>
              <w:jc w:val="left"/>
            </w:pPr>
            <w:r w:rsidR="4692D324">
              <w:rPr/>
              <w:t>7</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136F40EF" w14:textId="60D543D6">
            <w:pPr>
              <w:spacing w:before="0" w:beforeAutospacing="off" w:after="0" w:afterAutospacing="off"/>
              <w:jc w:val="left"/>
            </w:pPr>
            <w:r w:rsidR="4692D324">
              <w:rPr/>
              <w:t>Get Creator's Data</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51B679D7" w14:textId="2AA9206E">
            <w:pPr>
              <w:spacing w:before="0" w:beforeAutospacing="off" w:after="0" w:afterAutospacing="off"/>
              <w:jc w:val="left"/>
            </w:pPr>
            <w:r w:rsidR="4692D324">
              <w:rPr/>
              <w:t>Brands can be able to see data of creators for those who are part of selected group</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42DC48F4" w14:textId="2FC84147">
            <w:pPr>
              <w:spacing w:before="0" w:beforeAutospacing="off" w:after="0" w:afterAutospacing="off"/>
              <w:jc w:val="left"/>
            </w:pPr>
            <w:r w:rsidR="4692D324">
              <w:rPr/>
              <w:t>/app/v1/brandstar/brands/mylist-creators-fetch/:brandName</w:t>
            </w:r>
          </w:p>
        </w:tc>
        <w:tc>
          <w:tcPr>
            <w:tcW w:w="187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4692D324" w:rsidP="4692D324" w:rsidRDefault="4692D324" w14:paraId="6A98C7D6" w14:textId="21E1900B">
            <w:pPr>
              <w:spacing w:before="0" w:beforeAutospacing="off" w:after="0" w:afterAutospacing="off"/>
              <w:jc w:val="left"/>
            </w:pPr>
            <w:r w:rsidR="4692D324">
              <w:rPr/>
              <w:t>POST</w:t>
            </w:r>
          </w:p>
        </w:tc>
      </w:tr>
    </w:tbl>
    <w:p w:rsidR="4692D324" w:rsidP="4692D324" w:rsidRDefault="4692D324" w14:paraId="10B4E645" w14:textId="1601A158">
      <w:pPr>
        <w:pStyle w:val="Normal"/>
        <w:spacing w:before="0" w:beforeAutospacing="off" w:after="0" w:afterAutospacing="off"/>
      </w:pPr>
    </w:p>
    <w:p w:rsidR="4692D324" w:rsidP="4692D324" w:rsidRDefault="4692D324" w14:paraId="65C917A7" w14:textId="4509EB47">
      <w:pPr>
        <w:pStyle w:val="Normal"/>
        <w:spacing w:before="0" w:beforeAutospacing="off" w:after="0" w:afterAutospacing="off"/>
      </w:pPr>
    </w:p>
    <w:p w:rsidR="4692D324" w:rsidP="4692D324" w:rsidRDefault="4692D324" w14:paraId="0BD14417" w14:textId="08F2CC3F">
      <w:pPr>
        <w:pStyle w:val="Normal"/>
        <w:spacing w:before="0" w:beforeAutospacing="off" w:after="0" w:afterAutospacing="off"/>
      </w:pPr>
    </w:p>
    <w:p w:rsidR="4692D324" w:rsidP="4692D324" w:rsidRDefault="4692D324" w14:paraId="4A121F80" w14:textId="5DB499D3">
      <w:pPr>
        <w:pStyle w:val="Normal"/>
        <w:spacing w:before="0" w:beforeAutospacing="off" w:after="0" w:afterAutospacing="off"/>
      </w:pPr>
    </w:p>
    <w:p w:rsidR="4692D324" w:rsidP="4692D324" w:rsidRDefault="4692D324" w14:paraId="1FA8A457" w14:textId="1C609BC8">
      <w:pPr>
        <w:pStyle w:val="Normal"/>
        <w:spacing w:before="0" w:beforeAutospacing="off" w:after="0" w:afterAutospacing="off"/>
      </w:pPr>
    </w:p>
    <w:p w:rsidR="4692D324" w:rsidP="4692D324" w:rsidRDefault="4692D324" w14:paraId="071648B2" w14:textId="6A13EAC7">
      <w:pPr>
        <w:pStyle w:val="Normal"/>
        <w:spacing w:before="0" w:beforeAutospacing="off" w:after="0" w:afterAutospacing="off"/>
      </w:pPr>
    </w:p>
    <w:p w:rsidR="644CD10C" w:rsidP="4692D324" w:rsidRDefault="644CD10C" w14:paraId="2968B20C" w14:textId="2009ED96">
      <w:pPr>
        <w:pStyle w:val="Heading5"/>
      </w:pPr>
      <w:r w:rsidRPr="4692D324" w:rsidR="644CD10C">
        <w:rPr>
          <w:rFonts w:ascii="Open Sans" w:hAnsi="Open Sans" w:eastAsia="Open Sans" w:cs="Open Sans"/>
          <w:b w:val="1"/>
          <w:bCs w:val="1"/>
          <w:i w:val="0"/>
          <w:iCs w:val="0"/>
          <w:caps w:val="0"/>
          <w:smallCaps w:val="0"/>
          <w:noProof w:val="0"/>
          <w:color w:val="333333"/>
          <w:sz w:val="22"/>
          <w:szCs w:val="22"/>
          <w:lang w:val="en-US"/>
        </w:rPr>
        <w:t>Conclusion</w:t>
      </w:r>
    </w:p>
    <w:p w:rsidR="4692D324" w:rsidP="4692D324" w:rsidRDefault="4692D324" w14:paraId="5A725AFC" w14:textId="20F160F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50360B"/>
    <w:rsid w:val="038DEB7F"/>
    <w:rsid w:val="0EE90003"/>
    <w:rsid w:val="2065B2A8"/>
    <w:rsid w:val="31B36164"/>
    <w:rsid w:val="3450360B"/>
    <w:rsid w:val="39930673"/>
    <w:rsid w:val="3FAADF94"/>
    <w:rsid w:val="4692D324"/>
    <w:rsid w:val="4D8A81A5"/>
    <w:rsid w:val="50C182D1"/>
    <w:rsid w:val="50C182D1"/>
    <w:rsid w:val="59E88536"/>
    <w:rsid w:val="644CD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360B"/>
  <w15:chartTrackingRefBased/>
  <w15:docId w15:val="{B7F296CF-CC37-4413-A1BA-5E45BA5F8E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nimeta.ai/" TargetMode="External" Id="Rdbd300eeecf44dbd" /><Relationship Type="http://schemas.openxmlformats.org/officeDocument/2006/relationships/hyperlink" Target="https://documenter.getpostman.com/view/12893255/2s93m4WMfJ" TargetMode="External" Id="Rabca34bd517f4c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2023-06-13T09:05:09.5646682Z</dcterms:created>
  <dcterms:modified xsi:type="dcterms:W3CDTF">2023-06-14T07:30:18.2030258Z</dcterms:modified>
  <dc:creator>Meenakshi Lodhi</dc:creator>
  <lastModifiedBy>Meenakshi Lodhi</lastModifiedBy>
</coreProperties>
</file>