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val="false"/>
        <w:keepLines w:val="false"/>
        <w:pageBreakBefore w:val="false"/>
        <w:widowControl/>
        <w:pBdr>
          <w:left w:val="none" w:sz="0" w:space="0" w:color="auto"/>
          <w:right w:val="none" w:sz="0" w:space="0" w:color="auto"/>
          <w:top w:val="none" w:sz="0" w:space="0" w:color="auto"/>
          <w:bottom w:val="none" w:sz="0" w:space="0" w:color="auto"/>
          <w:between w:val="none" w:sz="0" w:space="0" w:color="auto"/>
        </w:pBdr>
        <w:shd w:val="clear" w:color="auto" w:fill="auto"/>
        <w:spacing w:before="0" w:after="0" w:lineRule="auto" w:line="360"/>
        <w:ind w:left="0" w:right="0" w:firstLine="0"/>
        <w:jc w:val="center"/>
        <w:rPr>
          <w:rFonts w:ascii="Rockwell" w:cs="Rockwell" w:eastAsia="Rockwell" w:hAnsi="Rockwell"/>
          <w:b/>
          <w:bCs/>
          <w:i w:val="false"/>
          <w:iCs w:val="false"/>
          <w:smallCaps w:val="false"/>
          <w:color w:val="000000"/>
          <w:sz w:val="32"/>
          <w:szCs w:val="32"/>
          <w:u w:val="none"/>
          <w:shd w:val="clear" w:color="auto" w:fill="auto"/>
          <w:vertAlign w:val="baseline"/>
        </w:rPr>
      </w:pPr>
      <w:r>
        <w:rPr>
          <w:rFonts w:ascii="Rockwell" w:cs="Rockwell" w:eastAsia="Rockwell" w:hAnsi="Rockwell"/>
          <w:b/>
          <w:bCs/>
          <w:i w:val="false"/>
          <w:iCs w:val="false"/>
          <w:smallCaps w:val="false"/>
          <w:color w:val="000000"/>
          <w:sz w:val="32"/>
          <w:szCs w:val="32"/>
          <w:u w:val="none"/>
          <w:shd w:val="clear" w:color="auto" w:fill="auto"/>
          <w:vertAlign w:val="baseline"/>
        </w:rPr>
        <w:t>MAHARAJA INSTITUTE OF TECHNOLOGY MYSORE</w:t>
      </w:r>
    </w:p>
    <w:p>
      <w:pPr>
        <w:pStyle w:val="style0"/>
        <w:spacing w:lineRule="auto" w:line="360"/>
        <w:jc w:val="center"/>
        <w:rPr>
          <w:rFonts w:ascii="Rockwell" w:cs="Rockwell" w:eastAsia="Rockwell" w:hAnsi="Rockwell"/>
          <w:b/>
          <w:bCs/>
          <w:color w:val="000000"/>
          <w:sz w:val="22"/>
          <w:szCs w:val="22"/>
        </w:rPr>
      </w:pPr>
      <w:r>
        <w:rPr>
          <w:rFonts w:ascii="Rockwell" w:cs="Rockwell" w:eastAsia="Rockwell" w:hAnsi="Rockwell"/>
          <w:b/>
          <w:bCs/>
          <w:color w:val="000000"/>
          <w:sz w:val="22"/>
          <w:szCs w:val="22"/>
        </w:rPr>
        <w:t>Belawadi, SrirangapatnaTq, Mandya-571477</w:t>
      </w:r>
    </w:p>
    <w:p>
      <w:pPr>
        <w:pStyle w:val="style0"/>
        <w:keepNext w:val="false"/>
        <w:keepLines w:val="false"/>
        <w:pageBreakBefore w:val="false"/>
        <w:widowControl/>
        <w:pBdr>
          <w:left w:val="none" w:sz="0" w:space="0" w:color="auto"/>
          <w:right w:val="none" w:sz="0" w:space="0" w:color="auto"/>
          <w:top w:val="none" w:sz="0" w:space="0" w:color="auto"/>
          <w:bottom w:val="none" w:sz="0" w:space="0" w:color="auto"/>
          <w:between w:val="none" w:sz="0" w:space="0" w:color="auto"/>
        </w:pBdr>
        <w:shd w:val="clear" w:color="auto" w:fill="auto"/>
        <w:spacing w:before="0" w:after="0" w:lineRule="auto" w:line="360"/>
        <w:ind w:left="0" w:right="0" w:firstLine="0"/>
        <w:jc w:val="center"/>
        <w:rPr>
          <w:rFonts w:ascii="Rockwell" w:cs="Rockwell" w:eastAsia="Rockwell" w:hAnsi="Rockwell"/>
          <w:b/>
          <w:bCs/>
          <w:i w:val="false"/>
          <w:iCs w:val="false"/>
          <w:smallCaps w:val="false"/>
          <w:color w:val="000000"/>
          <w:sz w:val="28"/>
          <w:szCs w:val="28"/>
          <w:u w:val="none"/>
          <w:shd w:val="clear" w:color="auto" w:fill="auto"/>
          <w:vertAlign w:val="baseline"/>
        </w:rPr>
      </w:pPr>
      <w:r>
        <w:rPr>
          <w:rFonts w:ascii="Rockwell" w:cs="Rockwell" w:eastAsia="Rockwell" w:hAnsi="Rockwell"/>
          <w:b/>
          <w:bCs/>
          <w:i w:val="false"/>
          <w:iCs w:val="false"/>
          <w:smallCaps w:val="false"/>
          <w:color w:val="000000"/>
          <w:sz w:val="28"/>
          <w:szCs w:val="28"/>
          <w:u w:val="none"/>
          <w:shd w:val="clear" w:color="auto" w:fill="auto"/>
          <w:vertAlign w:val="baseline"/>
        </w:rPr>
        <w:t>DEPARTMENT OF CSE (Artificial Intelligence)</w:t>
      </w:r>
    </w:p>
    <w:p>
      <w:pPr>
        <w:pStyle w:val="style0"/>
        <w:spacing w:lineRule="auto" w:line="360"/>
        <w:jc w:val="right"/>
        <w:rPr>
          <w:rFonts w:ascii="Quattrocento Sans" w:cs="Quattrocento Sans" w:eastAsia="Quattrocento Sans" w:hAnsi="Quattrocento Sans"/>
          <w:b/>
          <w:bCs/>
          <w:color w:val="000000"/>
          <w:sz w:val="28"/>
          <w:szCs w:val="28"/>
        </w:rPr>
      </w:pPr>
      <w:r>
        <w:rPr/>
        <w:drawing>
          <wp:inline distL="0" distT="0" distB="0" distR="0">
            <wp:extent cx="742950" cy="751205"/>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742950" cy="751205"/>
                    </a:xfrm>
                    <a:prstGeom prst="rect"/>
                    <a:ln cmpd="sng" cap="flat" w="9525">
                      <a:solidFill>
                        <a:srgbClr val="000000"/>
                      </a:solidFill>
                      <a:prstDash val="solid"/>
                      <a:round/>
                      <a:headEnd len="med" w="med" type="none"/>
                      <a:tailEnd len="med" w="med" type="none"/>
                    </a:ln>
                  </pic:spPr>
                </pic:pic>
              </a:graphicData>
            </a:graphic>
          </wp:inline>
        </w:drawing>
      </w:r>
      <w:r>
        <w:rPr/>
        <w:drawing>
          <wp:anchor distT="0" distB="0" distL="114300" distR="114300" simplePos="false" relativeHeight="2" behindDoc="false" locked="false" layoutInCell="true" allowOverlap="true">
            <wp:simplePos x="0" y="0"/>
            <wp:positionH relativeFrom="column">
              <wp:posOffset>49530</wp:posOffset>
            </wp:positionH>
            <wp:positionV relativeFrom="paragraph">
              <wp:posOffset>47625</wp:posOffset>
            </wp:positionV>
            <wp:extent cx="770889" cy="753110"/>
            <wp:effectExtent l="0" t="0" r="0" b="0"/>
            <wp:wrapSquare wrapText="bothSides"/>
            <wp:docPr id="1027" name="image2.jpg" descr="MIT Logo.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jpg"/>
                    <pic:cNvPicPr/>
                  </pic:nvPicPr>
                  <pic:blipFill>
                    <a:blip r:embed="rId3" cstate="print"/>
                    <a:srcRect l="0" t="0" r="0" b="0"/>
                    <a:stretch/>
                  </pic:blipFill>
                  <pic:spPr>
                    <a:xfrm rot="0">
                      <a:off x="0" y="0"/>
                      <a:ext cx="770889" cy="753110"/>
                    </a:xfrm>
                    <a:prstGeom prst="rect"/>
                    <a:ln cmpd="sng" cap="flat" w="9525">
                      <a:solidFill>
                        <a:srgbClr val="000000"/>
                      </a:solidFill>
                      <a:prstDash val="solid"/>
                      <a:round/>
                      <a:headEnd len="med" w="med" type="none"/>
                      <a:tailEnd len="med" w="med" type="none"/>
                    </a:ln>
                  </pic:spPr>
                </pic:pic>
              </a:graphicData>
            </a:graphic>
          </wp:anchor>
        </w:drawing>
      </w:r>
    </w:p>
    <w:p>
      <w:pPr>
        <w:pStyle w:val="style0"/>
        <w:spacing w:lineRule="auto" w:line="360"/>
        <w:jc w:val="center"/>
        <w:rPr>
          <w:rFonts w:ascii="Quattrocento Sans" w:cs="Quattrocento Sans" w:eastAsia="Quattrocento Sans" w:hAnsi="Quattrocento Sans"/>
          <w:b/>
          <w:bCs/>
          <w:color w:val="000000"/>
          <w:sz w:val="32"/>
          <w:szCs w:val="32"/>
        </w:rPr>
      </w:pPr>
      <w:r>
        <w:rPr>
          <w:rFonts w:ascii="Quattrocento Sans" w:cs="Quattrocento Sans" w:eastAsia="Quattrocento Sans" w:hAnsi="Quattrocento Sans"/>
          <w:b/>
          <w:bCs/>
          <w:color w:val="000000"/>
          <w:sz w:val="32"/>
          <w:szCs w:val="32"/>
        </w:rPr>
        <w:t>Assignment – Project Report</w:t>
      </w:r>
    </w:p>
    <w:p>
      <w:pPr>
        <w:pStyle w:val="style0"/>
        <w:spacing w:lineRule="auto" w:line="360"/>
        <w:jc w:val="center"/>
        <w:rPr>
          <w:rFonts w:ascii="Quattrocento Sans" w:cs="Quattrocento Sans" w:eastAsia="Quattrocento Sans" w:hAnsi="Quattrocento Sans"/>
          <w:b/>
          <w:bCs/>
          <w:color w:val="000000"/>
          <w:sz w:val="28"/>
          <w:szCs w:val="28"/>
        </w:rPr>
      </w:pPr>
      <w:r>
        <w:rPr>
          <w:rFonts w:ascii="Quattrocento Sans" w:cs="Quattrocento Sans" w:eastAsia="Quattrocento Sans" w:hAnsi="Quattrocento Sans"/>
          <w:b/>
          <w:bCs/>
          <w:color w:val="000000"/>
          <w:sz w:val="28"/>
          <w:szCs w:val="28"/>
        </w:rPr>
        <w:t>2025-26</w:t>
      </w:r>
    </w:p>
    <w:p>
      <w:pPr>
        <w:pStyle w:val="style0"/>
        <w:rPr>
          <w:rFonts w:ascii="Rockwell" w:cs="Rockwell" w:eastAsia="Rockwell" w:hAnsi="Rockwell"/>
          <w:i/>
          <w:iCs/>
          <w:color w:val="000000"/>
          <w:sz w:val="26"/>
          <w:szCs w:val="26"/>
        </w:rPr>
      </w:pPr>
      <w:r>
        <w:rPr>
          <w:rFonts w:ascii="Rockwell" w:cs="Rockwell" w:eastAsia="Rockwell" w:hAnsi="Rockwell"/>
          <w:i/>
          <w:iCs/>
          <w:color w:val="000000"/>
          <w:sz w:val="26"/>
          <w:szCs w:val="26"/>
        </w:rPr>
        <w:t xml:space="preserve">               </w:t>
      </w:r>
    </w:p>
    <w:tbl>
      <w:tblPr>
        <w:tblStyle w:val="style4101"/>
        <w:tblW w:w="88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8820"/>
      </w:tblGrid>
      <w:tr>
        <w:trPr>
          <w:trHeight w:val="2686" w:hRule="atLeast"/>
        </w:trPr>
        <w:tc>
          <w:tcPr>
            <w:tcW w:w="0" w:type="auto"/>
            <w:tcBorders/>
          </w:tcPr>
          <w:p>
            <w:pPr>
              <w:pStyle w:val="style0"/>
              <w:jc w:val="center"/>
              <w:rPr>
                <w:rFonts w:ascii="Rockwell" w:cs="Rockwell" w:eastAsia="Rockwell" w:hAnsi="Rockwell"/>
                <w:b/>
                <w:bCs/>
                <w:i/>
                <w:iCs/>
                <w:color w:val="000000"/>
                <w:sz w:val="26"/>
                <w:szCs w:val="26"/>
              </w:rPr>
            </w:pPr>
          </w:p>
          <w:p>
            <w:pPr>
              <w:pStyle w:val="style0"/>
              <w:rPr>
                <w:rFonts w:ascii="Rockwell" w:cs="Rockwell" w:eastAsia="Rockwell" w:hAnsi="Rockwell"/>
                <w:b w:val="false"/>
                <w:bCs w:val="false"/>
                <w:color w:val="000000"/>
                <w:sz w:val="26"/>
                <w:szCs w:val="26"/>
              </w:rPr>
            </w:pPr>
            <w:r>
              <w:rPr>
                <w:rFonts w:ascii="Rockwell" w:cs="Rockwell" w:eastAsia="Rockwell" w:hAnsi="Rockwell"/>
                <w:b/>
                <w:bCs/>
                <w:color w:val="000000"/>
                <w:sz w:val="26"/>
                <w:szCs w:val="26"/>
              </w:rPr>
              <w:t>Subject Name:</w:t>
            </w:r>
            <w:r>
              <w:rPr>
                <w:rFonts w:cs="Rockwell" w:eastAsia="Rockwell" w:hAnsi="Rockwell"/>
                <w:b w:val="false"/>
                <w:bCs w:val="false"/>
                <w:color w:val="000000"/>
                <w:sz w:val="26"/>
                <w:szCs w:val="26"/>
                <w:lang w:val="en-US"/>
              </w:rPr>
              <w:t>AI FOR EVERYONE</w:t>
            </w:r>
          </w:p>
          <w:p>
            <w:pPr>
              <w:pStyle w:val="style0"/>
              <w:rPr>
                <w:rFonts w:ascii="Garamond" w:cs="Garamond" w:eastAsia="Garamond" w:hAnsi="Garamond"/>
                <w:b/>
                <w:bCs/>
              </w:rPr>
            </w:pPr>
          </w:p>
          <w:p>
            <w:pPr>
              <w:pStyle w:val="style0"/>
              <w:rPr>
                <w:rFonts w:ascii="Rockwell" w:cs="Rockwell" w:eastAsia="Rockwell" w:hAnsi="Rockwell"/>
                <w:b/>
                <w:bCs/>
                <w:color w:val="000000"/>
                <w:sz w:val="26"/>
                <w:szCs w:val="26"/>
              </w:rPr>
            </w:pPr>
            <w:r>
              <w:rPr>
                <w:rFonts w:ascii="Rockwell" w:cs="Rockwell" w:eastAsia="Rockwell" w:hAnsi="Rockwell"/>
                <w:b/>
                <w:bCs/>
                <w:color w:val="000000"/>
                <w:sz w:val="26"/>
                <w:szCs w:val="26"/>
              </w:rPr>
              <w:t>Subject Code:</w:t>
            </w:r>
            <w:r>
              <w:rPr>
                <w:rFonts w:cs="Rockwell" w:eastAsia="Rockwell" w:hAnsi="Rockwell"/>
                <w:b w:val="false"/>
                <w:bCs w:val="false"/>
                <w:color w:val="000000"/>
                <w:sz w:val="26"/>
                <w:szCs w:val="26"/>
                <w:lang w:val="en-US"/>
              </w:rPr>
              <w:t>M25BETK105H</w:t>
            </w:r>
          </w:p>
          <w:p>
            <w:pPr>
              <w:pStyle w:val="style0"/>
              <w:spacing w:lineRule="auto" w:line="360"/>
              <w:rPr>
                <w:rFonts w:ascii="CIDFont+F1" w:cs="CIDFont+F1" w:eastAsia="CIDFont+F1" w:hAnsi="CIDFont+F1"/>
                <w:b/>
                <w:bCs/>
                <w:sz w:val="22"/>
                <w:szCs w:val="22"/>
              </w:rPr>
            </w:pPr>
          </w:p>
          <w:p>
            <w:pPr>
              <w:pStyle w:val="style0"/>
              <w:spacing w:lineRule="auto" w:line="360"/>
              <w:rPr>
                <w:rFonts w:ascii="Rockwell" w:cs="Rockwell" w:eastAsia="Rockwell" w:hAnsi="Rockwell"/>
                <w:b/>
                <w:bCs/>
                <w:color w:val="000000"/>
                <w:sz w:val="26"/>
                <w:szCs w:val="26"/>
              </w:rPr>
            </w:pPr>
            <w:r>
              <w:rPr>
                <w:rFonts w:ascii="Rockwell" w:cs="Rockwell" w:eastAsia="Rockwell" w:hAnsi="Rockwell"/>
                <w:b/>
                <w:bCs/>
                <w:color w:val="000000"/>
                <w:sz w:val="26"/>
                <w:szCs w:val="26"/>
              </w:rPr>
              <w:t xml:space="preserve">Semester: </w:t>
            </w:r>
            <w:r>
              <w:rPr>
                <w:rFonts w:cs="Rockwell" w:eastAsia="Rockwell" w:hAnsi="Rockwell"/>
                <w:b w:val="false"/>
                <w:bCs w:val="false"/>
                <w:color w:val="000000"/>
                <w:sz w:val="26"/>
                <w:szCs w:val="26"/>
                <w:lang w:val="en-US"/>
              </w:rPr>
              <w:t>1st SEMESTER</w:t>
            </w:r>
          </w:p>
          <w:p>
            <w:pPr>
              <w:pStyle w:val="style0"/>
              <w:jc w:val="center"/>
              <w:rPr>
                <w:rFonts w:ascii="Rockwell" w:cs="Rockwell" w:eastAsia="Rockwell" w:hAnsi="Rockwell"/>
                <w:b/>
                <w:bCs/>
                <w:i/>
                <w:iCs/>
                <w:color w:val="000000"/>
                <w:sz w:val="26"/>
                <w:szCs w:val="26"/>
              </w:rPr>
            </w:pPr>
          </w:p>
        </w:tc>
      </w:tr>
    </w:tbl>
    <w:p>
      <w:pPr>
        <w:pStyle w:val="style0"/>
        <w:rPr>
          <w:rFonts w:ascii="Rockwell" w:cs="Rockwell" w:eastAsia="Rockwell" w:hAnsi="Rockwell"/>
          <w:i/>
          <w:iCs/>
          <w:color w:val="000000"/>
          <w:sz w:val="26"/>
          <w:szCs w:val="26"/>
        </w:rPr>
      </w:pPr>
    </w:p>
    <w:p>
      <w:pPr>
        <w:pStyle w:val="style0"/>
        <w:spacing w:lineRule="auto" w:line="360"/>
        <w:rPr>
          <w:rFonts w:ascii="Rockwell" w:cs="Rockwell" w:eastAsia="Rockwell" w:hAnsi="Rockwell"/>
          <w:b/>
          <w:bCs/>
          <w:color w:val="000000"/>
        </w:rPr>
      </w:pPr>
      <w:r>
        <w:rPr>
          <w:rFonts w:ascii="Rockwell" w:cs="Rockwell" w:eastAsia="Rockwell" w:hAnsi="Rockwell"/>
          <w:color w:val="000000"/>
        </w:rPr>
        <w:t xml:space="preserve">Submitted by:                                                                                     Team No: </w:t>
      </w:r>
    </w:p>
    <w:tbl>
      <w:tblPr>
        <w:tblStyle w:val="style4102"/>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Pr>
      <w:tblGrid>
        <w:gridCol w:w="533"/>
        <w:gridCol w:w="2241"/>
        <w:gridCol w:w="1692"/>
        <w:gridCol w:w="618"/>
        <w:gridCol w:w="533"/>
        <w:gridCol w:w="590"/>
        <w:gridCol w:w="547"/>
        <w:gridCol w:w="591"/>
        <w:gridCol w:w="547"/>
        <w:gridCol w:w="885"/>
      </w:tblGrid>
      <w:tr>
        <w:trPr>
          <w:trHeight w:val="407" w:hRule="atLeast"/>
          <w:jc w:val="center"/>
        </w:trPr>
        <w:tc>
          <w:tcPr>
            <w:tcW w:w="0" w:type="auto"/>
            <w:vMerge w:val="restart"/>
            <w:tcBorders/>
            <w:shd w:val="clear" w:color="auto" w:fill="fde9d9"/>
            <w:vAlign w:val="center"/>
          </w:tcPr>
          <w:p>
            <w:pPr>
              <w:pStyle w:val="style0"/>
              <w:jc w:val="center"/>
              <w:rPr>
                <w:rFonts w:ascii="Garamond" w:cs="Garamond" w:eastAsia="Garamond" w:hAnsi="Garamond"/>
                <w:b/>
                <w:bCs/>
                <w:color w:val="000000"/>
                <w:sz w:val="22"/>
                <w:szCs w:val="22"/>
              </w:rPr>
            </w:pPr>
            <w:r>
              <w:rPr>
                <w:rFonts w:ascii="Garamond" w:cs="Garamond" w:eastAsia="Garamond" w:hAnsi="Garamond"/>
                <w:b/>
                <w:bCs/>
                <w:color w:val="000000"/>
                <w:sz w:val="22"/>
                <w:szCs w:val="22"/>
              </w:rPr>
              <w:t>Sl. No.</w:t>
            </w:r>
          </w:p>
        </w:tc>
        <w:tc>
          <w:tcPr>
            <w:tcW w:w="0" w:type="auto"/>
            <w:vMerge w:val="restart"/>
            <w:tcBorders/>
            <w:shd w:val="clear" w:color="auto" w:fill="fde9d9"/>
            <w:vAlign w:val="center"/>
          </w:tcPr>
          <w:p>
            <w:pPr>
              <w:pStyle w:val="style0"/>
              <w:jc w:val="center"/>
              <w:rPr>
                <w:rFonts w:ascii="Garamond" w:cs="Garamond" w:eastAsia="Garamond" w:hAnsi="Garamond"/>
                <w:b/>
                <w:bCs/>
                <w:color w:val="000000"/>
                <w:sz w:val="22"/>
                <w:szCs w:val="22"/>
              </w:rPr>
            </w:pPr>
            <w:r>
              <w:rPr>
                <w:rFonts w:ascii="Garamond" w:cs="Garamond" w:eastAsia="Garamond" w:hAnsi="Garamond"/>
                <w:b/>
                <w:bCs/>
                <w:color w:val="000000"/>
                <w:sz w:val="22"/>
                <w:szCs w:val="22"/>
              </w:rPr>
              <w:t>Student Name</w:t>
            </w:r>
          </w:p>
        </w:tc>
        <w:tc>
          <w:tcPr>
            <w:tcW w:w="0" w:type="auto"/>
            <w:vMerge w:val="restart"/>
            <w:tcBorders/>
            <w:shd w:val="clear" w:color="auto" w:fill="fde9d9"/>
            <w:vAlign w:val="center"/>
          </w:tcPr>
          <w:p>
            <w:pPr>
              <w:pStyle w:val="style0"/>
              <w:jc w:val="center"/>
              <w:rPr>
                <w:rFonts w:ascii="Garamond" w:cs="Garamond" w:eastAsia="Garamond" w:hAnsi="Garamond"/>
                <w:b/>
                <w:bCs/>
                <w:color w:val="000000"/>
                <w:sz w:val="22"/>
                <w:szCs w:val="22"/>
              </w:rPr>
            </w:pPr>
            <w:r>
              <w:rPr>
                <w:rFonts w:ascii="Garamond" w:cs="Garamond" w:eastAsia="Garamond" w:hAnsi="Garamond"/>
                <w:b/>
                <w:bCs/>
                <w:color w:val="000000"/>
                <w:sz w:val="22"/>
                <w:szCs w:val="22"/>
              </w:rPr>
              <w:t>USN.</w:t>
            </w:r>
          </w:p>
        </w:tc>
        <w:tc>
          <w:tcPr>
            <w:tcW w:w="0" w:type="auto"/>
            <w:tcBorders/>
            <w:shd w:val="clear" w:color="auto" w:fill="fde9d9"/>
          </w:tcPr>
          <w:p>
            <w:pPr>
              <w:pStyle w:val="style0"/>
              <w:jc w:val="center"/>
              <w:rPr>
                <w:rFonts w:ascii="Garamond" w:cs="Garamond" w:eastAsia="Garamond" w:hAnsi="Garamond"/>
                <w:b/>
                <w:bCs/>
                <w:color w:val="000000"/>
                <w:sz w:val="22"/>
                <w:szCs w:val="22"/>
              </w:rPr>
            </w:pPr>
          </w:p>
        </w:tc>
        <w:tc>
          <w:tcPr>
            <w:tcW w:w="0" w:type="auto"/>
            <w:gridSpan w:val="4"/>
            <w:tcBorders/>
            <w:shd w:val="clear" w:color="auto" w:fill="fde9d9"/>
            <w:vAlign w:val="center"/>
          </w:tcPr>
          <w:p>
            <w:pPr>
              <w:pStyle w:val="style0"/>
              <w:jc w:val="center"/>
              <w:rPr>
                <w:rFonts w:ascii="Garamond" w:cs="Garamond" w:eastAsia="Garamond" w:hAnsi="Garamond"/>
                <w:b/>
                <w:bCs/>
                <w:color w:val="000000"/>
                <w:sz w:val="22"/>
                <w:szCs w:val="22"/>
              </w:rPr>
            </w:pPr>
            <w:r>
              <w:rPr>
                <w:rFonts w:ascii="Garamond" w:cs="Garamond" w:eastAsia="Garamond" w:hAnsi="Garamond"/>
                <w:b/>
                <w:bCs/>
                <w:color w:val="000000"/>
                <w:sz w:val="22"/>
                <w:szCs w:val="22"/>
              </w:rPr>
              <w:t>CO’s Mapping</w:t>
            </w:r>
          </w:p>
        </w:tc>
        <w:tc>
          <w:tcPr>
            <w:tcW w:w="0" w:type="auto"/>
            <w:vMerge w:val="restart"/>
            <w:tcBorders/>
            <w:shd w:val="clear" w:color="auto" w:fill="fde9d9"/>
            <w:vAlign w:val="center"/>
          </w:tcPr>
          <w:p>
            <w:pPr>
              <w:pStyle w:val="style0"/>
              <w:ind w:left="113" w:right="113" w:firstLine="0"/>
              <w:jc w:val="center"/>
              <w:rPr>
                <w:rFonts w:ascii="Garamond" w:cs="Garamond" w:eastAsia="Garamond" w:hAnsi="Garamond"/>
                <w:b/>
                <w:bCs/>
                <w:color w:val="000000"/>
                <w:sz w:val="16"/>
                <w:szCs w:val="16"/>
              </w:rPr>
            </w:pPr>
            <w:r>
              <w:rPr>
                <w:rFonts w:ascii="Garamond" w:cs="Garamond" w:eastAsia="Garamond" w:hAnsi="Garamond"/>
                <w:b/>
                <w:bCs/>
                <w:color w:val="000000"/>
                <w:sz w:val="16"/>
                <w:szCs w:val="16"/>
              </w:rPr>
              <w:t>Total</w:t>
            </w:r>
          </w:p>
          <w:p>
            <w:pPr>
              <w:pStyle w:val="style0"/>
              <w:ind w:left="113" w:right="113" w:firstLine="0"/>
              <w:jc w:val="center"/>
              <w:rPr>
                <w:rFonts w:ascii="Garamond" w:cs="Garamond" w:eastAsia="Garamond" w:hAnsi="Garamond"/>
                <w:b/>
                <w:bCs/>
                <w:color w:val="000000"/>
                <w:sz w:val="22"/>
                <w:szCs w:val="22"/>
              </w:rPr>
            </w:pPr>
          </w:p>
        </w:tc>
        <w:tc>
          <w:tcPr>
            <w:tcW w:w="0" w:type="auto"/>
            <w:tcBorders/>
            <w:shd w:val="clear" w:color="auto" w:fill="fde9d9"/>
            <w:vAlign w:val="center"/>
          </w:tcPr>
          <w:p>
            <w:pPr>
              <w:pStyle w:val="style0"/>
              <w:jc w:val="center"/>
              <w:rPr>
                <w:rFonts w:ascii="Garamond" w:cs="Garamond" w:eastAsia="Garamond" w:hAnsi="Garamond"/>
                <w:b/>
                <w:bCs/>
                <w:color w:val="000000"/>
                <w:sz w:val="18"/>
                <w:szCs w:val="18"/>
              </w:rPr>
            </w:pPr>
            <w:r>
              <w:rPr>
                <w:rFonts w:ascii="Garamond" w:cs="Garamond" w:eastAsia="Garamond" w:hAnsi="Garamond"/>
                <w:b/>
                <w:bCs/>
                <w:color w:val="000000"/>
                <w:sz w:val="18"/>
                <w:szCs w:val="18"/>
              </w:rPr>
              <w:t xml:space="preserve">Scaled to </w:t>
            </w:r>
          </w:p>
        </w:tc>
      </w:tr>
      <w:tr>
        <w:tblPrEx/>
        <w:trPr>
          <w:trHeight w:val="892" w:hRule="atLeast"/>
          <w:jc w:val="center"/>
        </w:trPr>
        <w:tc>
          <w:tcPr>
            <w:tcW w:w="0" w:type="auto"/>
            <w:vMerge w:val="continue"/>
            <w:tcBorders/>
            <w:shd w:val="clear" w:color="auto" w:fill="fde9d9"/>
            <w:vAlign w:val="center"/>
          </w:tcPr>
          <w:p>
            <w:pPr>
              <w:pStyle w:val="style0"/>
              <w:keepNext w:val="false"/>
              <w:keepLines w:val="false"/>
              <w:pageBreakBefore w:val="false"/>
              <w:widowControl w:val="false"/>
              <w:pBdr>
                <w:left w:val="none" w:sz="0" w:space="0" w:color="auto"/>
                <w:right w:val="none" w:sz="0" w:space="0" w:color="auto"/>
                <w:top w:val="none" w:sz="0" w:space="0" w:color="auto"/>
                <w:bottom w:val="none" w:sz="0" w:space="0" w:color="auto"/>
                <w:between w:val="none" w:sz="0" w:space="0" w:color="auto"/>
              </w:pBdr>
              <w:shd w:val="clear" w:color="auto" w:fill="auto"/>
              <w:spacing w:before="0" w:after="0" w:lineRule="auto" w:line="276"/>
              <w:ind w:left="0" w:right="0" w:firstLine="0"/>
              <w:jc w:val="left"/>
              <w:rPr>
                <w:rFonts w:ascii="Garamond" w:cs="Garamond" w:eastAsia="Garamond" w:hAnsi="Garamond"/>
                <w:b/>
                <w:bCs/>
                <w:color w:val="000000"/>
                <w:sz w:val="18"/>
                <w:szCs w:val="18"/>
              </w:rPr>
            </w:pPr>
          </w:p>
        </w:tc>
        <w:tc>
          <w:tcPr>
            <w:tcW w:w="0" w:type="auto"/>
            <w:vMerge w:val="continue"/>
            <w:tcBorders/>
            <w:shd w:val="clear" w:color="auto" w:fill="fde9d9"/>
            <w:vAlign w:val="center"/>
          </w:tcPr>
          <w:p>
            <w:pPr>
              <w:pStyle w:val="style0"/>
              <w:keepNext w:val="false"/>
              <w:keepLines w:val="false"/>
              <w:pageBreakBefore w:val="false"/>
              <w:widowControl w:val="false"/>
              <w:pBdr>
                <w:left w:val="none" w:sz="0" w:space="0" w:color="auto"/>
                <w:right w:val="none" w:sz="0" w:space="0" w:color="auto"/>
                <w:top w:val="none" w:sz="0" w:space="0" w:color="auto"/>
                <w:bottom w:val="none" w:sz="0" w:space="0" w:color="auto"/>
                <w:between w:val="none" w:sz="0" w:space="0" w:color="auto"/>
              </w:pBdr>
              <w:shd w:val="clear" w:color="auto" w:fill="auto"/>
              <w:spacing w:before="0" w:after="0" w:lineRule="auto" w:line="276"/>
              <w:ind w:left="0" w:right="0" w:firstLine="0"/>
              <w:jc w:val="left"/>
              <w:rPr>
                <w:rFonts w:ascii="Garamond" w:cs="Garamond" w:eastAsia="Garamond" w:hAnsi="Garamond"/>
                <w:b/>
                <w:bCs/>
                <w:color w:val="000000"/>
                <w:sz w:val="18"/>
                <w:szCs w:val="18"/>
              </w:rPr>
            </w:pPr>
          </w:p>
        </w:tc>
        <w:tc>
          <w:tcPr>
            <w:tcW w:w="0" w:type="auto"/>
            <w:vMerge w:val="continue"/>
            <w:tcBorders/>
            <w:shd w:val="clear" w:color="auto" w:fill="fde9d9"/>
            <w:vAlign w:val="center"/>
          </w:tcPr>
          <w:p>
            <w:pPr>
              <w:pStyle w:val="style0"/>
              <w:keepNext w:val="false"/>
              <w:keepLines w:val="false"/>
              <w:pageBreakBefore w:val="false"/>
              <w:widowControl w:val="false"/>
              <w:pBdr>
                <w:left w:val="none" w:sz="0" w:space="0" w:color="auto"/>
                <w:right w:val="none" w:sz="0" w:space="0" w:color="auto"/>
                <w:top w:val="none" w:sz="0" w:space="0" w:color="auto"/>
                <w:bottom w:val="none" w:sz="0" w:space="0" w:color="auto"/>
                <w:between w:val="none" w:sz="0" w:space="0" w:color="auto"/>
              </w:pBdr>
              <w:shd w:val="clear" w:color="auto" w:fill="auto"/>
              <w:spacing w:before="0" w:after="0" w:lineRule="auto" w:line="276"/>
              <w:ind w:left="0" w:right="0" w:firstLine="0"/>
              <w:jc w:val="left"/>
              <w:rPr>
                <w:rFonts w:ascii="Garamond" w:cs="Garamond" w:eastAsia="Garamond" w:hAnsi="Garamond"/>
                <w:b/>
                <w:bCs/>
                <w:color w:val="000000"/>
                <w:sz w:val="18"/>
                <w:szCs w:val="18"/>
              </w:rPr>
            </w:pPr>
          </w:p>
        </w:tc>
        <w:tc>
          <w:tcPr>
            <w:tcW w:w="0" w:type="auto"/>
            <w:tcBorders/>
            <w:shd w:val="clear" w:color="auto" w:fill="fde9d9"/>
          </w:tcPr>
          <w:p>
            <w:pPr>
              <w:pStyle w:val="style0"/>
              <w:rPr>
                <w:rFonts w:ascii="Garamond" w:cs="Garamond" w:eastAsia="Garamond" w:hAnsi="Garamond"/>
                <w:b/>
                <w:bCs/>
                <w:color w:val="000000"/>
                <w:sz w:val="16"/>
                <w:szCs w:val="16"/>
              </w:rPr>
            </w:pPr>
            <w:r>
              <w:rPr>
                <w:rFonts w:ascii="Garamond" w:cs="Garamond" w:eastAsia="Garamond" w:hAnsi="Garamond"/>
                <w:b/>
                <w:bCs/>
                <w:color w:val="000000"/>
                <w:sz w:val="16"/>
                <w:szCs w:val="16"/>
              </w:rPr>
              <w:t xml:space="preserve">   </w:t>
            </w:r>
          </w:p>
          <w:p>
            <w:pPr>
              <w:pStyle w:val="style0"/>
              <w:rPr>
                <w:rFonts w:ascii="Garamond" w:cs="Garamond" w:eastAsia="Garamond" w:hAnsi="Garamond"/>
                <w:b/>
                <w:bCs/>
                <w:sz w:val="16"/>
                <w:szCs w:val="16"/>
              </w:rPr>
            </w:pPr>
          </w:p>
          <w:p>
            <w:pPr>
              <w:pStyle w:val="style0"/>
              <w:spacing w:lineRule="auto" w:line="720"/>
              <w:rPr>
                <w:rFonts w:ascii="Garamond" w:cs="Garamond" w:eastAsia="Garamond" w:hAnsi="Garamond"/>
                <w:b/>
                <w:bCs/>
                <w:color w:val="000000"/>
                <w:sz w:val="16"/>
                <w:szCs w:val="16"/>
              </w:rPr>
            </w:pPr>
            <w:r>
              <w:rPr>
                <w:rFonts w:ascii="Garamond" w:cs="Garamond" w:eastAsia="Garamond" w:hAnsi="Garamond"/>
                <w:b/>
                <w:bCs/>
                <w:color w:val="000000"/>
                <w:sz w:val="16"/>
                <w:szCs w:val="16"/>
              </w:rPr>
              <w:t>CO1</w:t>
            </w:r>
          </w:p>
        </w:tc>
        <w:tc>
          <w:tcPr>
            <w:tcW w:w="0" w:type="auto"/>
            <w:tcBorders/>
            <w:shd w:val="clear" w:color="auto" w:fill="fde9d9"/>
            <w:vAlign w:val="center"/>
          </w:tcPr>
          <w:p>
            <w:pPr>
              <w:pStyle w:val="style0"/>
              <w:rPr>
                <w:rFonts w:ascii="Garamond" w:cs="Garamond" w:eastAsia="Garamond" w:hAnsi="Garamond"/>
                <w:b/>
                <w:bCs/>
                <w:color w:val="000000"/>
                <w:sz w:val="16"/>
                <w:szCs w:val="16"/>
              </w:rPr>
            </w:pPr>
            <w:r>
              <w:rPr>
                <w:rFonts w:ascii="Garamond" w:cs="Garamond" w:eastAsia="Garamond" w:hAnsi="Garamond"/>
                <w:b/>
                <w:bCs/>
                <w:color w:val="000000"/>
                <w:sz w:val="16"/>
                <w:szCs w:val="16"/>
              </w:rPr>
              <w:t>CO2</w:t>
            </w:r>
          </w:p>
        </w:tc>
        <w:tc>
          <w:tcPr>
            <w:tcW w:w="0" w:type="auto"/>
            <w:tcBorders/>
            <w:shd w:val="clear" w:color="auto" w:fill="fde9d9"/>
            <w:vAlign w:val="center"/>
          </w:tcPr>
          <w:p>
            <w:pPr>
              <w:pStyle w:val="style0"/>
              <w:rPr>
                <w:rFonts w:ascii="Garamond" w:cs="Garamond" w:eastAsia="Garamond" w:hAnsi="Garamond"/>
                <w:b/>
                <w:bCs/>
                <w:color w:val="000000"/>
                <w:sz w:val="16"/>
                <w:szCs w:val="16"/>
              </w:rPr>
            </w:pPr>
            <w:r>
              <w:rPr>
                <w:rFonts w:ascii="Garamond" w:cs="Garamond" w:eastAsia="Garamond" w:hAnsi="Garamond"/>
                <w:b/>
                <w:bCs/>
                <w:color w:val="000000"/>
                <w:sz w:val="16"/>
                <w:szCs w:val="16"/>
              </w:rPr>
              <w:t>CO3</w:t>
            </w:r>
          </w:p>
        </w:tc>
        <w:tc>
          <w:tcPr>
            <w:tcW w:w="0" w:type="auto"/>
            <w:tcBorders/>
            <w:shd w:val="clear" w:color="auto" w:fill="fde9d9"/>
            <w:vAlign w:val="center"/>
          </w:tcPr>
          <w:p>
            <w:pPr>
              <w:pStyle w:val="style0"/>
              <w:rPr>
                <w:rFonts w:ascii="Garamond" w:cs="Garamond" w:eastAsia="Garamond" w:hAnsi="Garamond"/>
                <w:b/>
                <w:bCs/>
                <w:color w:val="000000"/>
                <w:sz w:val="16"/>
                <w:szCs w:val="16"/>
              </w:rPr>
            </w:pPr>
            <w:r>
              <w:rPr>
                <w:rFonts w:ascii="Garamond" w:cs="Garamond" w:eastAsia="Garamond" w:hAnsi="Garamond"/>
                <w:b/>
                <w:bCs/>
                <w:color w:val="000000"/>
                <w:sz w:val="16"/>
                <w:szCs w:val="16"/>
              </w:rPr>
              <w:t>CO4</w:t>
            </w:r>
          </w:p>
        </w:tc>
        <w:tc>
          <w:tcPr>
            <w:tcW w:w="0" w:type="auto"/>
            <w:tcBorders/>
            <w:shd w:val="clear" w:color="auto" w:fill="fde9d9"/>
            <w:vAlign w:val="center"/>
          </w:tcPr>
          <w:p>
            <w:pPr>
              <w:pStyle w:val="style0"/>
              <w:rPr>
                <w:rFonts w:ascii="Garamond" w:cs="Garamond" w:eastAsia="Garamond" w:hAnsi="Garamond"/>
                <w:b/>
                <w:bCs/>
                <w:color w:val="000000"/>
                <w:sz w:val="16"/>
                <w:szCs w:val="16"/>
              </w:rPr>
            </w:pPr>
            <w:r>
              <w:rPr>
                <w:rFonts w:ascii="Garamond" w:cs="Garamond" w:eastAsia="Garamond" w:hAnsi="Garamond"/>
                <w:b/>
                <w:bCs/>
                <w:color w:val="000000"/>
                <w:sz w:val="16"/>
                <w:szCs w:val="16"/>
              </w:rPr>
              <w:t>CO5</w:t>
            </w:r>
          </w:p>
        </w:tc>
        <w:tc>
          <w:tcPr>
            <w:tcW w:w="0" w:type="auto"/>
            <w:vMerge w:val="continue"/>
            <w:tcBorders/>
            <w:shd w:val="clear" w:color="auto" w:fill="fde9d9"/>
            <w:vAlign w:val="center"/>
          </w:tcPr>
          <w:p>
            <w:pPr>
              <w:pStyle w:val="style0"/>
              <w:keepNext w:val="false"/>
              <w:keepLines w:val="false"/>
              <w:pageBreakBefore w:val="false"/>
              <w:widowControl w:val="false"/>
              <w:pBdr>
                <w:left w:val="none" w:sz="0" w:space="0" w:color="auto"/>
                <w:right w:val="none" w:sz="0" w:space="0" w:color="auto"/>
                <w:top w:val="none" w:sz="0" w:space="0" w:color="auto"/>
                <w:bottom w:val="none" w:sz="0" w:space="0" w:color="auto"/>
                <w:between w:val="none" w:sz="0" w:space="0" w:color="auto"/>
              </w:pBdr>
              <w:shd w:val="clear" w:color="auto" w:fill="auto"/>
              <w:spacing w:before="0" w:after="0" w:lineRule="auto" w:line="276"/>
              <w:ind w:left="0" w:right="0" w:firstLine="0"/>
              <w:jc w:val="left"/>
              <w:rPr>
                <w:rFonts w:ascii="Garamond" w:cs="Garamond" w:eastAsia="Garamond" w:hAnsi="Garamond"/>
                <w:b/>
                <w:bCs/>
                <w:color w:val="000000"/>
                <w:sz w:val="16"/>
                <w:szCs w:val="16"/>
              </w:rPr>
            </w:pPr>
          </w:p>
        </w:tc>
        <w:tc>
          <w:tcPr>
            <w:tcW w:w="0" w:type="auto"/>
            <w:tcBorders/>
            <w:shd w:val="clear" w:color="auto" w:fill="fde9d9"/>
            <w:vAlign w:val="center"/>
          </w:tcPr>
          <w:p>
            <w:pPr>
              <w:pStyle w:val="style0"/>
              <w:jc w:val="center"/>
              <w:rPr>
                <w:rFonts w:ascii="Garamond" w:cs="Garamond" w:eastAsia="Garamond" w:hAnsi="Garamond"/>
                <w:b/>
                <w:bCs/>
                <w:color w:val="000000"/>
                <w:sz w:val="18"/>
                <w:szCs w:val="18"/>
              </w:rPr>
            </w:pPr>
          </w:p>
        </w:tc>
      </w:tr>
      <w:tr>
        <w:tblPrEx/>
        <w:trPr>
          <w:trHeight w:val="988" w:hRule="atLeast"/>
          <w:jc w:val="center"/>
        </w:trPr>
        <w:tc>
          <w:tcPr>
            <w:tcW w:w="0" w:type="auto"/>
            <w:tcBorders/>
            <w:shd w:val="clear" w:color="auto" w:fill="ffffff"/>
            <w:vAlign w:val="bottom"/>
          </w:tcPr>
          <w:p>
            <w:pPr>
              <w:pStyle w:val="style0"/>
              <w:spacing w:lineRule="auto" w:line="600"/>
              <w:jc w:val="center"/>
              <w:rPr>
                <w:rFonts w:ascii="Garamond" w:cs="Garamond" w:eastAsia="Garamond" w:hAnsi="Garamond"/>
                <w:color w:val="000000"/>
                <w:sz w:val="22"/>
                <w:szCs w:val="22"/>
              </w:rPr>
            </w:pPr>
            <w:r>
              <w:rPr>
                <w:rFonts w:ascii="Garamond" w:cs="Garamond" w:eastAsia="Garamond" w:hAnsi="Garamond"/>
                <w:color w:val="000000"/>
                <w:sz w:val="22"/>
                <w:szCs w:val="22"/>
              </w:rPr>
              <w:t>1</w:t>
            </w:r>
          </w:p>
        </w:tc>
        <w:tc>
          <w:tcPr>
            <w:tcW w:w="0" w:type="auto"/>
            <w:tcBorders/>
            <w:shd w:val="clear" w:color="auto" w:fill="ffffff"/>
            <w:vAlign w:val="center"/>
          </w:tcPr>
          <w:p>
            <w:pPr>
              <w:pStyle w:val="style0"/>
              <w:jc w:val="center"/>
              <w:rPr>
                <w:rFonts w:ascii="Garamond" w:cs="Garamond" w:eastAsia="Garamond" w:hAnsi="Garamond"/>
                <w:b/>
                <w:bCs/>
                <w:color w:val="000000"/>
                <w:sz w:val="22"/>
                <w:szCs w:val="22"/>
              </w:rPr>
            </w:pPr>
            <w:r>
              <w:rPr>
                <w:rFonts w:cs="Garamond" w:eastAsia="Garamond" w:hAnsi="Garamond"/>
                <w:b/>
                <w:bCs/>
                <w:color w:val="000000"/>
                <w:sz w:val="22"/>
                <w:szCs w:val="22"/>
                <w:lang w:val="en-US"/>
              </w:rPr>
              <w:t>VARUN.M.S</w:t>
            </w:r>
          </w:p>
        </w:tc>
        <w:tc>
          <w:tcPr>
            <w:tcW w:w="0" w:type="auto"/>
            <w:tcBorders/>
            <w:shd w:val="clear" w:color="auto" w:fill="auto"/>
            <w:vAlign w:val="bottom"/>
          </w:tcPr>
          <w:p>
            <w:pPr>
              <w:pStyle w:val="style0"/>
              <w:spacing w:lineRule="auto" w:line="600"/>
              <w:rPr>
                <w:rFonts w:ascii="Garamond" w:cs="Garamond" w:eastAsia="Garamond" w:hAnsi="Garamond"/>
                <w:b/>
                <w:bCs/>
                <w:color w:val="000000"/>
                <w:sz w:val="22"/>
                <w:szCs w:val="22"/>
              </w:rPr>
            </w:pPr>
            <w:r>
              <w:rPr>
                <w:rFonts w:ascii="Garamond" w:cs="Garamond" w:eastAsia="Garamond" w:hAnsi="Garamond"/>
                <w:b/>
                <w:bCs/>
                <w:color w:val="000000"/>
                <w:sz w:val="22"/>
                <w:szCs w:val="22"/>
              </w:rPr>
              <w:t>4MH</w:t>
            </w:r>
            <w:r>
              <w:rPr>
                <w:rFonts w:cs="Garamond" w:eastAsia="Garamond" w:hAnsi="Garamond"/>
                <w:b/>
                <w:bCs/>
                <w:color w:val="000000"/>
                <w:sz w:val="22"/>
                <w:szCs w:val="22"/>
                <w:lang w:val="en-US"/>
              </w:rPr>
              <w:t>25CA056</w:t>
            </w:r>
          </w:p>
        </w:tc>
        <w:tc>
          <w:tcPr>
            <w:tcW w:w="0" w:type="auto"/>
            <w:tcBorders/>
          </w:tcPr>
          <w:p>
            <w:pPr>
              <w:pStyle w:val="style0"/>
              <w:jc w:val="center"/>
              <w:rPr>
                <w:rFonts w:ascii="Garamond" w:cs="Garamond" w:eastAsia="Garamond" w:hAnsi="Garamond"/>
                <w:b/>
                <w:bCs/>
                <w:color w:val="000000"/>
                <w:sz w:val="22"/>
                <w:szCs w:val="22"/>
              </w:rPr>
            </w:pPr>
          </w:p>
        </w:tc>
        <w:tc>
          <w:tcPr>
            <w:tcW w:w="0" w:type="auto"/>
            <w:tcBorders/>
            <w:shd w:val="clear" w:color="auto" w:fill="auto"/>
          </w:tcPr>
          <w:p>
            <w:pPr>
              <w:pStyle w:val="style0"/>
              <w:jc w:val="center"/>
              <w:rPr>
                <w:rFonts w:ascii="Garamond" w:cs="Garamond" w:eastAsia="Garamond" w:hAnsi="Garamond"/>
                <w:b/>
                <w:bCs/>
                <w:color w:val="000000"/>
                <w:sz w:val="22"/>
                <w:szCs w:val="22"/>
              </w:rPr>
            </w:pPr>
          </w:p>
        </w:tc>
        <w:tc>
          <w:tcPr>
            <w:tcW w:w="0" w:type="auto"/>
            <w:tcBorders/>
          </w:tcPr>
          <w:p>
            <w:pPr>
              <w:pStyle w:val="style0"/>
              <w:jc w:val="center"/>
              <w:rPr>
                <w:rFonts w:ascii="Garamond" w:cs="Garamond" w:eastAsia="Garamond" w:hAnsi="Garamond"/>
                <w:b/>
                <w:bCs/>
                <w:color w:val="000000"/>
                <w:sz w:val="22"/>
                <w:szCs w:val="22"/>
              </w:rPr>
            </w:pPr>
          </w:p>
        </w:tc>
        <w:tc>
          <w:tcPr>
            <w:tcW w:w="0" w:type="auto"/>
            <w:tcBorders/>
            <w:shd w:val="clear" w:color="auto" w:fill="auto"/>
          </w:tcPr>
          <w:p>
            <w:pPr>
              <w:pStyle w:val="style0"/>
              <w:jc w:val="center"/>
              <w:rPr>
                <w:rFonts w:ascii="Garamond" w:cs="Garamond" w:eastAsia="Garamond" w:hAnsi="Garamond"/>
                <w:b/>
                <w:bCs/>
                <w:color w:val="000000"/>
                <w:sz w:val="22"/>
                <w:szCs w:val="22"/>
              </w:rPr>
            </w:pPr>
          </w:p>
        </w:tc>
        <w:tc>
          <w:tcPr>
            <w:tcW w:w="0" w:type="auto"/>
            <w:tcBorders/>
            <w:shd w:val="clear" w:color="auto" w:fill="auto"/>
          </w:tcPr>
          <w:p>
            <w:pPr>
              <w:pStyle w:val="style0"/>
              <w:jc w:val="center"/>
              <w:rPr>
                <w:rFonts w:ascii="Garamond" w:cs="Garamond" w:eastAsia="Garamond" w:hAnsi="Garamond"/>
                <w:b/>
                <w:bCs/>
                <w:color w:val="000000"/>
                <w:sz w:val="22"/>
                <w:szCs w:val="22"/>
              </w:rPr>
            </w:pPr>
          </w:p>
        </w:tc>
        <w:tc>
          <w:tcPr>
            <w:tcW w:w="0" w:type="auto"/>
            <w:tcBorders/>
            <w:shd w:val="clear" w:color="auto" w:fill="auto"/>
          </w:tcPr>
          <w:p>
            <w:pPr>
              <w:pStyle w:val="style0"/>
              <w:jc w:val="center"/>
              <w:rPr>
                <w:rFonts w:ascii="Garamond" w:cs="Garamond" w:eastAsia="Garamond" w:hAnsi="Garamond"/>
                <w:b/>
                <w:bCs/>
                <w:color w:val="000000"/>
                <w:sz w:val="22"/>
                <w:szCs w:val="22"/>
              </w:rPr>
            </w:pPr>
          </w:p>
        </w:tc>
        <w:tc>
          <w:tcPr>
            <w:tcW w:w="0" w:type="auto"/>
            <w:tcBorders/>
            <w:shd w:val="clear" w:color="auto" w:fill="auto"/>
          </w:tcPr>
          <w:p>
            <w:pPr>
              <w:pStyle w:val="style0"/>
              <w:jc w:val="center"/>
              <w:rPr>
                <w:rFonts w:ascii="Garamond" w:cs="Garamond" w:eastAsia="Garamond" w:hAnsi="Garamond"/>
                <w:b/>
                <w:bCs/>
                <w:color w:val="000000"/>
                <w:sz w:val="22"/>
                <w:szCs w:val="22"/>
              </w:rPr>
            </w:pPr>
          </w:p>
        </w:tc>
      </w:tr>
    </w:tbl>
    <w:p>
      <w:pPr>
        <w:pStyle w:val="style0"/>
        <w:jc w:val="both"/>
        <w:rPr>
          <w:rFonts w:ascii="Garamond" w:cs="Garamond" w:eastAsia="Garamond" w:hAnsi="Garamond"/>
          <w:b/>
          <w:bCs/>
          <w:color w:val="000000"/>
        </w:rPr>
      </w:pPr>
    </w:p>
    <w:p>
      <w:pPr>
        <w:pStyle w:val="style0"/>
        <w:jc w:val="both"/>
        <w:rPr>
          <w:rFonts w:ascii="Garamond" w:cs="Garamond" w:eastAsia="Garamond" w:hAnsi="Garamond"/>
          <w:b/>
          <w:bCs/>
          <w:color w:val="000000"/>
        </w:rPr>
      </w:pPr>
    </w:p>
    <w:p>
      <w:pPr>
        <w:pStyle w:val="style0"/>
        <w:spacing w:lineRule="auto" w:line="360"/>
        <w:jc w:val="both"/>
        <w:rPr>
          <w:rFonts w:ascii="Rockwell" w:cs="Rockwell" w:eastAsia="Rockwell" w:hAnsi="Rockwell"/>
          <w:b/>
          <w:bCs/>
          <w:color w:val="000000"/>
          <w:sz w:val="22"/>
          <w:szCs w:val="22"/>
        </w:rPr>
      </w:pPr>
      <w:r>
        <w:rPr>
          <w:rFonts w:ascii="Rockwell" w:cs="Rockwell" w:eastAsia="Rockwell" w:hAnsi="Rockwell"/>
          <w:b/>
          <w:bCs/>
          <w:color w:val="000000"/>
          <w:sz w:val="22"/>
          <w:szCs w:val="22"/>
        </w:rPr>
        <w:t>Verified and Approved by:</w:t>
      </w:r>
    </w:p>
    <w:p>
      <w:pPr>
        <w:pStyle w:val="style0"/>
        <w:spacing w:lineRule="auto" w:line="360"/>
        <w:jc w:val="both"/>
        <w:rPr>
          <w:rFonts w:ascii="Rockwell" w:cs="Rockwell" w:eastAsia="Rockwell" w:hAnsi="Rockwell"/>
          <w:sz w:val="22"/>
          <w:szCs w:val="22"/>
        </w:rPr>
      </w:pPr>
      <w:r>
        <w:rPr>
          <w:rFonts w:ascii="Rockwell" w:cs="Rockwell" w:eastAsia="Rockwell" w:hAnsi="Rockwell"/>
          <w:color w:val="000000"/>
          <w:sz w:val="22"/>
          <w:szCs w:val="22"/>
        </w:rPr>
        <w:t>Faculty Name:</w:t>
      </w:r>
      <w:r>
        <w:rPr>
          <w:rFonts w:cs="Rockwell" w:eastAsia="Rockwell" w:hAnsi="Rockwell"/>
          <w:color w:val="000000"/>
          <w:sz w:val="22"/>
          <w:szCs w:val="22"/>
          <w:lang w:val="en-US"/>
        </w:rPr>
        <w:t>M J YOGESH</w:t>
      </w:r>
      <w:r>
        <w:rPr>
          <w:rFonts w:ascii="Rockwell" w:cs="Rockwell" w:eastAsia="Rockwell" w:hAnsi="Rockwell"/>
          <w:color w:val="000000"/>
          <w:sz w:val="22"/>
          <w:szCs w:val="22"/>
        </w:rPr>
        <w:t xml:space="preserve"> </w:t>
      </w:r>
    </w:p>
    <w:p>
      <w:pPr>
        <w:pStyle w:val="style0"/>
        <w:spacing w:lineRule="auto" w:line="360"/>
        <w:jc w:val="both"/>
        <w:rPr>
          <w:rFonts w:ascii="Rockwell" w:cs="Rockwell" w:eastAsia="Rockwell" w:hAnsi="Rockwell"/>
          <w:color w:val="000000"/>
          <w:sz w:val="22"/>
          <w:szCs w:val="22"/>
        </w:rPr>
      </w:pPr>
      <w:r>
        <w:rPr>
          <w:rFonts w:ascii="Rockwell" w:cs="Rockwell" w:eastAsia="Rockwell" w:hAnsi="Rockwell"/>
          <w:color w:val="000000"/>
          <w:sz w:val="22"/>
          <w:szCs w:val="22"/>
        </w:rPr>
        <w:t>Signature:</w:t>
      </w:r>
    </w:p>
    <w:p>
      <w:pPr>
        <w:pStyle w:val="style0"/>
        <w:spacing w:lineRule="auto" w:line="360"/>
        <w:jc w:val="both"/>
        <w:rPr>
          <w:rFonts w:ascii="Rockwell" w:cs="Rockwell" w:eastAsia="Rockwell" w:hAnsi="Rockwell"/>
          <w:color w:val="000000"/>
          <w:sz w:val="22"/>
          <w:szCs w:val="22"/>
        </w:rPr>
      </w:pPr>
      <w:r>
        <w:rPr>
          <w:rFonts w:ascii="Rockwell" w:cs="Rockwell" w:eastAsia="Rockwell" w:hAnsi="Rockwell"/>
          <w:color w:val="000000"/>
          <w:sz w:val="22"/>
          <w:szCs w:val="22"/>
        </w:rPr>
        <w:t>Date:</w:t>
      </w:r>
    </w:p>
    <w:bookmarkStart w:id="0" w:name="_heading=h.3nqbepkocdqf" w:colFirst="0" w:colLast="0"/>
    <w:bookmarkEnd w:id="0"/>
    <w:p>
      <w:pPr>
        <w:pStyle w:val="style0"/>
        <w:spacing w:lineRule="auto" w:line="360"/>
        <w:jc w:val="both"/>
        <w:rPr>
          <w:rFonts w:ascii="Rockwell" w:cs="Rockwell" w:eastAsia="Rockwell" w:hAnsi="Rockwell"/>
          <w:b/>
          <w:bCs/>
          <w:color w:val="000000"/>
          <w:sz w:val="22"/>
          <w:szCs w:val="22"/>
        </w:rPr>
      </w:pPr>
    </w:p>
    <w:p>
      <w:pPr>
        <w:pStyle w:val="style0"/>
        <w:spacing w:lineRule="auto" w:line="360"/>
        <w:jc w:val="both"/>
        <w:rPr>
          <w:rFonts w:ascii="Rockwell" w:cs="Rockwell" w:eastAsia="Rockwell" w:hAnsi="Rockwell"/>
          <w:b/>
          <w:bCs/>
          <w:color w:val="000000"/>
          <w:sz w:val="22"/>
          <w:szCs w:val="22"/>
        </w:rPr>
      </w:pPr>
      <w:r>
        <w:rPr>
          <w:rFonts w:ascii="Rockwell" w:cs="Rockwell" w:eastAsia="Rockwell" w:hAnsi="Rockwell"/>
          <w:b/>
          <w:bCs/>
          <w:color w:val="000000"/>
          <w:sz w:val="22"/>
          <w:szCs w:val="22"/>
        </w:rPr>
        <w:t>Project GitHub Repository:</w:t>
      </w:r>
    </w:p>
    <w:p>
      <w:pPr>
        <w:pStyle w:val="style0"/>
        <w:spacing w:lineRule="auto" w:line="360"/>
        <w:jc w:val="both"/>
        <w:rPr>
          <w:rFonts w:ascii="Rockwell" w:cs="Rockwell" w:eastAsia="Rockwell" w:hAnsi="Rockwell"/>
          <w:color w:val="000000"/>
          <w:sz w:val="22"/>
          <w:szCs w:val="22"/>
        </w:rPr>
      </w:pPr>
      <w:r>
        <w:rPr>
          <w:rFonts w:ascii="Rockwell" w:cs="Rockwell" w:eastAsia="Rockwell" w:hAnsi="Rockwell"/>
          <w:color w:val="000000"/>
          <w:sz w:val="22"/>
          <w:szCs w:val="22"/>
        </w:rPr>
        <w:t>Link: ___________________________________________</w:t>
      </w:r>
    </w:p>
    <w:p>
      <w:pPr>
        <w:pStyle w:val="style0"/>
        <w:spacing w:lineRule="auto" w:line="360"/>
        <w:jc w:val="both"/>
        <w:rPr>
          <w:rFonts w:ascii="Rockwell" w:cs="Rockwell" w:eastAsia="Rockwell" w:hAnsi="Rockwell"/>
          <w:color w:val="000000"/>
          <w:sz w:val="22"/>
          <w:szCs w:val="22"/>
        </w:rPr>
      </w:pPr>
      <w:r>
        <w:rPr>
          <w:rFonts w:ascii="Rockwell" w:cs="Rockwell" w:eastAsia="Rockwell" w:hAnsi="Rockwell"/>
          <w:color w:val="000000"/>
          <w:sz w:val="22"/>
          <w:szCs w:val="22"/>
        </w:rPr>
        <w:t xml:space="preserve">QR Code  </w:t>
      </w:r>
    </w:p>
    <w:p>
      <w:pPr>
        <w:pStyle w:val="style0"/>
        <w:spacing w:lineRule="auto" w:line="360"/>
        <w:jc w:val="both"/>
        <w:rPr>
          <w:rFonts w:ascii="Rockwell" w:cs="Rockwell" w:eastAsia="Rockwell" w:hAnsi="Rockwell"/>
          <w:color w:val="000000"/>
          <w:sz w:val="22"/>
          <w:szCs w:val="22"/>
        </w:rPr>
      </w:pPr>
      <w:r>
        <w:rPr>
          <w:rFonts w:ascii="Rockwell" w:cs="Rockwell" w:eastAsia="Rockwell" w:hAnsi="Rockwell"/>
          <w:color w:val="000000"/>
          <w:sz w:val="22"/>
          <w:szCs w:val="22"/>
        </w:rPr>
        <w:br w:type="page"/>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 xml:space="preserve">Artificial Intelligence in </w:t>
      </w:r>
      <w:bookmarkStart w:id="1" w:name="_GoBack"/>
      <w:bookmarkEnd w:id="1"/>
      <w:r>
        <w:rPr>
          <w:rFonts w:ascii="Aptos" w:cs="SimSun" w:eastAsia="Aptos" w:hAnsi="Aptos" w:hint="default"/>
          <w:b/>
          <w:bCs/>
          <w:i w:val="false"/>
          <w:iCs w:val="false"/>
          <w:color w:val="auto"/>
          <w:kern w:val="2"/>
          <w:sz w:val="24"/>
          <w:szCs w:val="24"/>
          <w:highlight w:val="none"/>
          <w:vertAlign w:val="baseline"/>
          <w:lang w:val="en-IN" w:eastAsia="en-US"/>
        </w:rPr>
        <w:t>Healthcare: A Comprehensive Analysis of Applications, Challenges, and Future Directions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Abstract</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Artificial Intelligence (AI) is poised to fundamentally reshape the healthcare sector, offering transformative potential for enhancing clinical workflows, diagnostic accuracy, and patient outcomes. This report provides a comprehensive analysis of AI's current state, examining its principal applications across critical domains such as diagnostic imaging, where it aids in the interpretation of radiographs, and AI-assisted robotic surgery, which has demonstrated significant improvements in surgical precision and patient recovery times. It further explores AI's role in accelerating drug discovery and enabling personalized oncology by analyzing complex genetic and molecular data.</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Despite this promise, the integration of AI into healthcare is fraught with significant challenges. Critical barriers include widespread patient distrust, rooted in fears of misdiagnosis, privacy breaches, and the erosion of the clinician-patient relationship. These concerns are compounded by pressing ethical issues, particularly the risk of algorithmic bias perpetuating health disparities among marginalized groups. The cautionary tale of the IBM Watson Health initiative, which overpromised on its capabilities and ultimately failed to deliver a commercially viable product, serves as a stark reminder of the complexities involved in translating general AI into effective, specialized medical tools.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To navigate these challenges, technical frameworks like federated learning and differential privacy are emerging to enable machine learning on sensitive electronic health records while preserving patient confidentiality. Ultimately, this report concludes that the future of AI in healthcare depends on a deliberate and balanced strategy—one that champions technological innovation while establishing robust governance, prioritizing ethical integrity, and fostering a foundation of trust between patients, providers, and the technologies designed to serve them.</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Chapter 1: Introduction</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The year 2026 represents a pivotal moment for the healthcare industry, driven by the rapid adoption and integration of Artificial Intelligence. No longer a futuristic concept, AI has become an increasingly indispensable tool with the proven potential to automate clinical documentation, enhance diagnostic precision, and streamline the delivery of care. As health systems navigate this technological shift, it is imperative to move beyond the hype and conduct a clear-eyed assessment of AI's real-world impact.</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The core purpose of this report is to provide a multi-faceted analysis of AI's current applications, prevailing challenges, and strategic future. By synthesizing expert insights on emerging trends, evaluating patient perspectives on trust and technology, and deconstructing critical technical frameworks, this document offers a holistic view of the AI landscape in healthcare. It examines both the celebrated successes in areas like radiology and robotic surgery and the notable failures that provide crucial lessons for future implementation.</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This analysis is structured to guide the reader from a broad understanding of the field to a detailed examination of its components. Chapter 2 provides a literature review, establishing a foundational context through expert predictions, patient sentiment analysis, and a cautionary case study. Chapter 3 delves into the operational mechanics of specific AI applications, from clinical tools to privacy-preserving technologies. Finally, Chapter 4 synthesizes these findings to offer a strategic path forward, outlining the governance, ethics, and patient-centric principles required to responsibly unlock the full potential of AI in medicine.</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Chapter 2: Literature Review</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To fully grasp the current state and future trajectory of Artificial Intelligence in healthcare, a comprehensive review of the existing literature is essential. This chapter synthesizes diverse perspectives to build a foundational understanding of the landscape. It consolidates expert predictions for near-term trends, analyzes patient sentiments that reveal a critical gap between technological promise and public trust, and examines a significant case study that highlights the inherent complexities of AI implementation. Together, these elements provide a nuanced view of the opportunities and obstacles that define the field today.</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2.1. Thematic Overview of AI in Healthcare Systems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Analysis of the current literature reveals that AI is being applied across several primary domains within healthcare systems. Its function ranges from augmenting clinical decisions to streamlining administrative tasks, with a significant impact on efficiency and accuracy.</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Disease Diagnosis:</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AI algorithms serve as powerful aids for clinicians, capable of processing vast quantities of complex medical data, such as electronic health records and imaging studies. This capability helps improve the accuracy and speed of diagnoses for a range of conditions, from common illnesses to early-stage cancers and Alzheimer's disease.</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Electronic Health Records (EHR):</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The administrative burden associated with managing EHRs is a significant challenge in modern healthcare. Natural Language Processing (NLP), a subfield of AI, is being used to structure and interpret unstructured text within these records. NLP algorithms can identify critical information, consolidate redundant notes, and match different medical terms for the same condition (e.g., "heart attack" and "myocardial infarction"), thereby making large datasets easier to analyze and reducing physician workload.</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Drug Discovery and Development:</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AI is significantly accelerating the traditionally slow and expensive process of drug discovery. Systems like AlphaFold, which can accurately predict the three-dimensional structures of proteins, are revolutionizing the understanding of diseases at a molecular level. Furthermore, AI models can analyze medical literature and adverse event reports to identify potential drug-drug interactions, a critical safety concern for patients on multiple medications.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Telemedicine and Remote Care:</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AI is enhancing remote healthcare delivery by enabling continuous patient monitoring through wearable sensors, which can detect subtle but significant changes in a patient's condition. In mental healthcare, AI-powered chatbots are being used to provide accessible support, though their use raises ethical questions about accountability and the absence of human reciprocity. As the global population ages, AI-based monitoring tools are also being deployed to support elderly individuals, though these applications must be balanced with critical privacy considerations.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2.2. Expert Outlook and Emerging Trends for 2026</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Industry experts anticipate that 2026 will be a year of transition, where the focus shifts from experimental AI adoption to enterprise-wide implementation guided by formal governance and a clear-eyed focus on value.</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The Rise of the "Trusted Copilot":</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The prevailing expert consensus is that clinical-grade Generative AI (GenAI) will become an integral and trusted partner in daily clinical workflows. When properly validated and embedded with expert oversight, these "copilots" are expected to automate documentation, synthesize clinical notes, surface care gaps, and streamline clinician-patient communications at scale.</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The Governance Imperative:</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The unsanctioned use of consumer-grade AI tools by staff, a phenomenon known as "shadow AI," has created significant compliance and safety risks. This trend is compelling health systems to move beyond ad-hoc policies and establish formal, organization-wide governance frameworks. Forward-thinking organizations are expected to create "AI safe zones"—controlled environments where staff can experiment with approved AI tools and datasets, fostering innovation while ensuring compliance and patient safety.</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Strategic Priorities for Adoption:</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As health systems mature in their AI strategies, three key themes are guiding implementation decisions: </w:t>
      </w:r>
      <w:r>
        <w:rPr>
          <w:rFonts w:ascii="Aptos" w:cs="SimSun" w:eastAsia="Aptos" w:hAnsi="Aptos" w:hint="default"/>
          <w:b/>
          <w:bCs/>
          <w:i w:val="false"/>
          <w:iCs w:val="false"/>
          <w:color w:val="auto"/>
          <w:kern w:val="2"/>
          <w:sz w:val="24"/>
          <w:szCs w:val="24"/>
          <w:highlight w:val="none"/>
          <w:vertAlign w:val="baseline"/>
          <w:lang w:val="en-IN" w:eastAsia="en-US"/>
        </w:rPr>
        <w:t>Scale</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w:t>
      </w:r>
      <w:r>
        <w:rPr>
          <w:rFonts w:ascii="Aptos" w:cs="SimSun" w:eastAsia="Aptos" w:hAnsi="Aptos" w:hint="default"/>
          <w:b/>
          <w:bCs/>
          <w:i w:val="false"/>
          <w:iCs w:val="false"/>
          <w:color w:val="auto"/>
          <w:kern w:val="2"/>
          <w:sz w:val="24"/>
          <w:szCs w:val="24"/>
          <w:highlight w:val="none"/>
          <w:vertAlign w:val="baseline"/>
          <w:lang w:val="en-IN" w:eastAsia="en-US"/>
        </w:rPr>
        <w:t>Value</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and </w:t>
      </w:r>
      <w:r>
        <w:rPr>
          <w:rFonts w:ascii="Aptos" w:cs="SimSun" w:eastAsia="Aptos" w:hAnsi="Aptos" w:hint="default"/>
          <w:b/>
          <w:bCs/>
          <w:i w:val="false"/>
          <w:iCs w:val="false"/>
          <w:color w:val="auto"/>
          <w:kern w:val="2"/>
          <w:sz w:val="24"/>
          <w:szCs w:val="24"/>
          <w:highlight w:val="none"/>
          <w:vertAlign w:val="baseline"/>
          <w:lang w:val="en-IN" w:eastAsia="en-US"/>
        </w:rPr>
        <w:t>Trust</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Organizations are prioritizing solutions that can be scaled across the enterprise, not just within siloed departments. They are demanding a demonstration of </w:t>
      </w:r>
      <w:r>
        <w:rPr>
          <w:rFonts w:ascii="Aptos" w:cs="SimSun" w:eastAsia="Aptos" w:hAnsi="Aptos" w:hint="default"/>
          <w:b/>
          <w:bCs/>
          <w:i w:val="false"/>
          <w:iCs w:val="false"/>
          <w:color w:val="auto"/>
          <w:kern w:val="2"/>
          <w:sz w:val="24"/>
          <w:szCs w:val="24"/>
          <w:highlight w:val="none"/>
          <w:vertAlign w:val="baseline"/>
          <w:lang w:val="en-IN" w:eastAsia="en-US"/>
        </w:rPr>
        <w:t>Value</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that goes beyond mere speed to include deeper clinical insights. Above all, they require </w:t>
      </w:r>
      <w:r>
        <w:rPr>
          <w:rFonts w:ascii="Aptos" w:cs="SimSun" w:eastAsia="Aptos" w:hAnsi="Aptos" w:hint="default"/>
          <w:b/>
          <w:bCs/>
          <w:i w:val="false"/>
          <w:iCs w:val="false"/>
          <w:color w:val="auto"/>
          <w:kern w:val="2"/>
          <w:sz w:val="24"/>
          <w:szCs w:val="24"/>
          <w:highlight w:val="none"/>
          <w:vertAlign w:val="baseline"/>
          <w:lang w:val="en-IN" w:eastAsia="en-US"/>
        </w:rPr>
        <w:t>Trust</w:t>
      </w:r>
      <w:r>
        <w:rPr>
          <w:rFonts w:ascii="Aptos" w:cs="SimSun" w:eastAsia="Aptos" w:hAnsi="Aptos" w:hint="default"/>
          <w:b w:val="false"/>
          <w:bCs w:val="false"/>
          <w:i w:val="false"/>
          <w:iCs w:val="false"/>
          <w:color w:val="auto"/>
          <w:kern w:val="2"/>
          <w:sz w:val="24"/>
          <w:szCs w:val="24"/>
          <w:highlight w:val="none"/>
          <w:vertAlign w:val="baseline"/>
          <w:lang w:val="en-IN" w:eastAsia="en-US"/>
        </w:rPr>
        <w:t>, which is achieved through solutions that offer full transparency regarding their data sources and reasoning.</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Workforce Empowerment:</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In response to persistent nursing shortages and high rates of clinical burnout, health systems are strategically deploying AI and other technologies to support their workforce. Tools such as virtual nursing platforms and ambient listening scribes are being implemented not to replace human expertise, but to empower nurses to work more efficiently, reduce administrative burdens, and elevate the overall quality of patient-centered care.</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2.3. The Patient Perspective: Trust and Trepidation</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Despite the clear potential of AI to improve healthcare, a significant gap exists between its technological promise and public perception. Patients harbor deep-seated, understandable fears about the role of automated systems in their care, creating a trust deficit that must be addressed for successful integration. Analysis from Blood Cancer United, citing a 2022 Yale study, identifies four primary areas of patient concern:</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iCs/>
          <w:color w:val="auto"/>
          <w:kern w:val="2"/>
          <w:sz w:val="24"/>
          <w:szCs w:val="24"/>
          <w:highlight w:val="none"/>
          <w:vertAlign w:val="baseline"/>
          <w:lang w:val="en-IN" w:eastAsia="en-US"/>
        </w:rPr>
        <w:t>Misdiagnoses:</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A fundamental fear that an AI system, lacking human intuition and oversight, could make critical diagnostic errors, leading to incorrect or delayed treatment.</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iCs/>
          <w:color w:val="auto"/>
          <w:kern w:val="2"/>
          <w:sz w:val="24"/>
          <w:szCs w:val="24"/>
          <w:highlight w:val="none"/>
          <w:vertAlign w:val="baseline"/>
          <w:lang w:val="en-IN" w:eastAsia="en-US"/>
        </w:rPr>
        <w:t>Privacy Breaches:</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Concern that the vast amounts of sensitive personal health data required to train and operate AI models could be compromised, leading to leaks or misuse of private information.</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iCs/>
          <w:color w:val="auto"/>
          <w:kern w:val="2"/>
          <w:sz w:val="24"/>
          <w:szCs w:val="24"/>
          <w:highlight w:val="none"/>
          <w:vertAlign w:val="baseline"/>
          <w:lang w:val="en-IN" w:eastAsia="en-US"/>
        </w:rPr>
        <w:t>Erosion of the Human Element:</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A widespread worry that increasing reliance on AI will lead to less time and empathetic interaction with doctors, replacing personalized care with impersonal, data-driven transactions.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iCs/>
          <w:color w:val="auto"/>
          <w:kern w:val="2"/>
          <w:sz w:val="24"/>
          <w:szCs w:val="24"/>
          <w:highlight w:val="none"/>
          <w:vertAlign w:val="baseline"/>
          <w:lang w:val="en-IN" w:eastAsia="en-US"/>
        </w:rPr>
        <w:t>Increased Costs and Inequity:</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Apprehension that the adoption of expensive AI technologies will drive up healthcare costs. Furthermore, there is a well-founded concern that AI models trained on historically biased data could perpetuate and even worsen care disparities for racial, ethnic, and other marginalized groups.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Bridging this trust gap is not a secondary concern but a critical prerequisite for the successful and ethical integration of AI into clinical practice. Transparent, two-way communication between clinicians and patients about how AI is used, its benefits, and its limitations is essential to building this foundation of trust.</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2.4. A Cautionary Case Study: The IBM Watson Health Initiative</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The story of IBM Watson Health serves as a crucial case study in the immense challenges of translating a general-purpose AI into a specialized, effective, and commercially viable medical tool. Following its high-profile victory on the quiz show </w:t>
      </w:r>
      <w:r>
        <w:rPr>
          <w:rFonts w:ascii="Aptos" w:cs="SimSun" w:eastAsia="Aptos" w:hAnsi="Aptos" w:hint="default"/>
          <w:b w:val="false"/>
          <w:bCs w:val="false"/>
          <w:i/>
          <w:iCs/>
          <w:color w:val="auto"/>
          <w:kern w:val="2"/>
          <w:sz w:val="24"/>
          <w:szCs w:val="24"/>
          <w:highlight w:val="none"/>
          <w:vertAlign w:val="baseline"/>
          <w:lang w:val="en-IN" w:eastAsia="en-US"/>
        </w:rPr>
        <w:t>Jeopardy!</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in 2011, IBM launched an ambitious initiative to apply Watson's question-answering capabilities to healthcare, with a primary focus on revolutionizing oncology by providing personalized cancer treatment recommendations.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However, the reality of clinical application proved far more complex than a trivia game. The project was widely seen as having "overpromised and underdelivered." Key pilot programs, including a high-profile collaboration with the MD Anderson Cancer Center, were discontinued after failing to meet their objectives, after an investment of $65 million. Ultimately, the division struggled to gain traction and generate profit. In 2022, IBM sold the assets of Watson Health to a private equity firm for $1 billion, a fraction of the $4 billion it had cost to develop.</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The Watson Health narrative offers a powerful lesson: the successful application of AI in medicine requires more than sophisticated algorithms. It demands deep domain expertise, a nuanced understanding of clinical workflows, and the ability to navigate the messy, unstructured, and context-dependent nature of real-world patient data. The lessons from Watson’s failure underscore the need for domain-specific, workflow-integrated solutions. The following chapter will therefore analyze applications that have succeeded precisely where Watson faltered: by focusing on tangible, measurable impact within defined clinical settings.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Chapter 3: Applications: Type and Working</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Having established the strategic landscape—defined by expert optimism, patient trepidation, and cautionary failures—this chapter now examines the technical machinery driving AI's successes. Moving from a high-level review to a granular analysis, this chapter deconstructs key AI applications to reveal their operational mechanics, technical underpinnings, and quantifiable impact across different healthcare domains. By examining how these technologies function in practice—from the operating room to the management of electronic health records—we can gain a clearer understanding of their current capabilities and the infrastructure required to support them.</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3.1. Analysis of Core Clinical Applications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3.1.1. AI-Enhanced Robotic Surgery</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The integration of Artificial Intelligence with robotic surgical systems is yielding significant improvements in procedural outcomes. Studies report that AI-assisted surgery can increase surgical precision by 40%, reduce operative time by 25%, and lower complication rates by 30%. These advancements are driven by a suite of core AI applications that augment the surgeon's capabilities.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The seven key applications include:</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Real-Time Decision Support:</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AI algorithms analyze data from sensors and imaging during an operation to provide intraoperative guidance, helping surgeons navigate complex anatomical structures with greater confidence.</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Automated Surgical Tasks:</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AI plays a crucial role in automating repetitive and delicate tasks, such as suturing and tissue manipulation, ensuring a level of precision and consistency that can surpass manual methods.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Enhanced Imaging and Visualization:</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Through AI-powered image processing, surgeons benefit from clearer, higher-definition views of the surgical field. Augmented Reality (AR) overlays can project critical information directly onto the surgeon's view, improving spatial awareness.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Predictive Analytics:</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By analyzing patient data, including medical history and genetic information, AI algorithms perform preoperative risk assessments and help create personalized surgical plans tailored to each individual's unique anatomy and condition.</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Haptic Feedback and Sensory Augmentation:</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AI enhances the tactile sensation for surgeons using robotic instruments. By processing force feedback data, these systems allow surgeons to "feel" tissues with greater sensitivity, which is critical for delicate procedures.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Intraoperative Margin Assessment:</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In oncological surgery, AI-powered systems provide real-time analysis of tissue to detect cancer cells at the margins of a resection, helping ensure that all cancerous tissue is removed during the initial procedure.</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Postoperative Monitoring:</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AI systems are used to track patient recovery by analyzing data from wearables and other monitoring devices. This allows for the early detection of potential complications and helps optimize recovery protocols, leading to better outcomes.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The quantitative benefits of integrating AI into robotic surgery are summarized below:</w:t>
      </w:r>
    </w:p>
    <w:tbl>
      <w:tblPr>
        <w:tblStyle w:val="style105"/>
        <w:tblW w:w="8306" w:type="dxa"/>
        <w:tblInd w:w="0" w:type="dxa"/>
        <w:tblCellMar>
          <w:top w:w="15" w:type="dxa"/>
          <w:left w:w="15" w:type="dxa"/>
          <w:bottom w:w="15" w:type="dxa"/>
          <w:right w:w="15" w:type="dxa"/>
        </w:tblCellMar>
      </w:tblPr>
      <w:tblGrid>
        <w:gridCol w:w="2326"/>
        <w:gridCol w:w="5979"/>
      </w:tblGrid>
      <w:tr>
        <w:trPr/>
        <w:tc>
          <w:tcPr>
            <w:tcW w:w="252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Metric</w:t>
            </w:r>
          </w:p>
        </w:tc>
        <w:tc>
          <w:tcPr>
            <w:tcW w:w="648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Improvement with AI-Assisted Surgery</w:t>
            </w:r>
          </w:p>
        </w:tc>
      </w:tr>
      <w:tr>
        <w:tblPrEx/>
        <w:trPr/>
        <w:tc>
          <w:tcPr>
            <w:tcW w:w="252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Surgical Precision</w:t>
            </w:r>
          </w:p>
        </w:tc>
        <w:tc>
          <w:tcPr>
            <w:tcW w:w="648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40% Increase</w:t>
            </w:r>
          </w:p>
        </w:tc>
      </w:tr>
      <w:tr>
        <w:tblPrEx/>
        <w:trPr/>
        <w:tc>
          <w:tcPr>
            <w:tcW w:w="252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Operative Time</w:t>
            </w:r>
          </w:p>
        </w:tc>
        <w:tc>
          <w:tcPr>
            <w:tcW w:w="648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25% Reduction</w:t>
            </w:r>
          </w:p>
        </w:tc>
      </w:tr>
      <w:tr>
        <w:tblPrEx/>
        <w:trPr/>
        <w:tc>
          <w:tcPr>
            <w:tcW w:w="252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Complication Rate</w:t>
            </w:r>
          </w:p>
        </w:tc>
        <w:tc>
          <w:tcPr>
            <w:tcW w:w="648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30% Reduction</w:t>
            </w:r>
          </w:p>
        </w:tc>
      </w:tr>
      <w:tr>
        <w:tblPrEx/>
        <w:trPr/>
        <w:tc>
          <w:tcPr>
            <w:tcW w:w="252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Recovery Times</w:t>
            </w:r>
          </w:p>
        </w:tc>
        <w:tc>
          <w:tcPr>
            <w:tcW w:w="648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15% Reduction</w:t>
            </w:r>
          </w:p>
        </w:tc>
      </w:tr>
      <w:tr>
        <w:tblPrEx/>
        <w:trPr/>
        <w:tc>
          <w:tcPr>
            <w:tcW w:w="252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Healthcare Costs</w:t>
            </w:r>
          </w:p>
        </w:tc>
        <w:tc>
          <w:tcPr>
            <w:tcW w:w="648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10% Reduction</w:t>
            </w:r>
          </w:p>
        </w:tc>
      </w:tr>
    </w:tbl>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3.1.2. Radiology and Medical Imaging</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Radiology is one of the most mature fields for AI application in healthcare. AI functions as both a non-interpretive and interpretive tool. In its non-interpretive role, AI is used to improve the quality of medical images by reducing noise or reconstructing high-quality images from lower radiation doses, enhancing patient safety.</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In its interpretive capacity, AI algorithms excel at diagnostics. These systems are trained to detect diseases in complex scans, such as those from CT and MR imaging, and have been shown to improve breast cancer detection rates in screening mammograms. The maturity of AI in this field is underscored by regulatory approval: as of 2025, the vast majority (77%) of all FDA-approved AI-enabled medical devices are in the field of radiology.</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3.2. Privacy-Preserving Machine Learning (PPML) for Electronic Health Records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The use of Electronic Health Records (EHR) for training machine learning models presents a significant challenge due to the highly sensitive nature of patient data and strict regulatory mandates like HIPAA and GDPR. In response, a set of techniques known as Privacy-Preserving Machine Learning (PPML) has been developed to enable valuable research while safeguarding patient confidentiality.</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The working principles of three core PPML techniques are described below:</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Federated Learning (FL):</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Federated learning is a machine learning setting where multiple clients (e.g., hospitals) collaboratively train a shared global model without ever exposing their raw training data. The process operates on a principle of "privacy by design." It begins with a central server initializing a model and broadcasting its parameters to all clients. Each client then trains the model on its own local data, computing an update to the parameters. These updates—not the raw data—are sent back to the server, which aggregates them to improve the shared global model. This cycle is repeated, allowing the model to learn from diverse datasets while sensitive information remains securely on local devices.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Differential Privacy (DP):</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Differential privacy is a formal mathematical framework for quantifying privacy risk. The technique involves adding a precisely calibrated amount of statistical "noise" to data or to the outputs of an algorithm. The purpose of this noise is to make it mathematically impossible to determine whether any single individual's information was included in the computation. By masking the contribution of any one person, DP provides strong, provable guarantees that the privacy of individuals in a dataset is protected.</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Pseudonymization:</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This is a data de-identification procedure that protects a patient's identity by replacing direct personal identifiers with artificial identifiers, or "pseudonyms." For instance, a highly sensitive field like a Social Security Number can be replaced with a unique, unreadable value generated by a secure hash function like SHA-256. This process is designed to be non-reversible without access to a secure key, effectively breaking the link between the health data and the individual's identity in the dataset used for analysis.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This exploration of AI's working applications now sets the stage for a final synthesis of its broader strategic implications and the path forward for responsible innovation.</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Chapter 4: Conclusion and Future Work</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This final chapter synthesizes the report's findings to draw overarching conclusions about the current state of Artificial Intelligence in healthcare. After summarizing the key insights, it pivots to a forward-looking perspective, outlining a strategic path for addressing the critical challenges identified. The chapter concludes by discussing the future evolution of this technology and the principles that must guide its development to ensure it serves the best interests of patients and clinicians alike.</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4.1. Synthesis of Findings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The integration of AI into healthcare presents a dual reality: a technology of immense potential for advancing medicine, set against a backdrop of significant ethical, technical, and social challenges. On one hand, AI is driving transformative applications, as seen in the enhanced precision of robotic surgery and the improved accuracy of diagnostic radiology. These tools promise to create a more efficient, effective, and data-driven healthcare ecosystem.</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On the other hand, this technological optimism is tempered by valid patient concerns about privacy, the potential for dehumanized care, and the perpetuation of health inequities through algorithmic bias. The implementation difficulties and commercial failure of ambitious projects like IBM Watson Health further underscore the profound complexity of translating general AI capabilities into reliable and trusted clinical tools. The successful path forward requires navigating this duality with a clear strategy that embraces innovation while mitigating risk.</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4.2. Addressing the Challenges: A Strategic Path Forward</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Based on the analysis presented in this report, a strategic framework for the responsible advancement of AI in healthcare must be built on three core pillars: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Establish Robust Governance and Regulation:</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The rise of "shadow AI" and the inherent risks of unregulated systems demand a move beyond ad-hoc policies. We must champion the establishment of "AI safe zones" as a core component of any governance framework, providing a sanctioned space for innovation that mitigates risk. These frameworks must ensure that AI tools are safe, equitable, and ethically sound, guided by ongoing regulatory efforts like the European Union's AI Act and guidance from the U.S. Food and Drug Administration (FDA).</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Prioritize Patient Trust and Transparency:</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Technological adoption cannot succeed without patient buy-in. Health systems and clinicians must proactively work to bridge the existing trust gap. This requires moving beyond passive consent and engaging in frank, two-way conversations with patients about how AI is being used in their care, its specific benefits, and its known limitations. Furthermore, investing in and transparently communicating the use of Privacy-Preserving Machine Learning techniques is not merely a technical solution but a direct strategic response to the valid patient fears regarding data privacy.</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Commit to Mitigating Algorithmic Bias:</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There is a critical and non-negotiable imperative to ensure that AI does not become a vehicle for perpetuating historical health disparities. This requires a steadfast commitment to training and validating AI models on diverse and representative datasets. Developers and healthcare organizations must actively audit algorithms for bias to prevent disparate outcomes for racial and ethnic minority groups and other underserved populations.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4.3. Future Work and Outlook</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The field of Artificial Intelligence will continue to evolve at a rapid pace, with advancements in Generative AI poised to unlock even more sophisticated applications in the coming years. However, as strategists and leaders in this space, we must measure its true value not by algorithmic sophistication, but by its capacity to augment human expertise while upholding the core, irreplaceable principles of the clinician-patient relationship: trust, empathy, and patient-centered care. The ultimate goal is not to replace, but to empower—reinforcing the human connection at the heart of medicine.</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bCs/>
          <w:i w:val="false"/>
          <w:iCs w:val="false"/>
          <w:color w:val="auto"/>
          <w:kern w:val="2"/>
          <w:sz w:val="24"/>
          <w:szCs w:val="24"/>
          <w:highlight w:val="none"/>
          <w:vertAlign w:val="baseline"/>
          <w:lang w:val="en-IN" w:eastAsia="en-US"/>
        </w:rPr>
        <w:t>Chapter 5: References</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iCs/>
          <w:color w:val="auto"/>
          <w:kern w:val="2"/>
          <w:sz w:val="24"/>
          <w:szCs w:val="24"/>
          <w:highlight w:val="none"/>
          <w:vertAlign w:val="baseline"/>
          <w:lang w:val="en-IN" w:eastAsia="en-US"/>
        </w:rPr>
        <w:t>2026 healthcare AI trends: Insights from experts.</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(2025, December 15). Wolters Kluwer.</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iCs/>
          <w:color w:val="auto"/>
          <w:kern w:val="2"/>
          <w:sz w:val="24"/>
          <w:szCs w:val="24"/>
          <w:highlight w:val="none"/>
          <w:vertAlign w:val="baseline"/>
          <w:lang w:val="en-IN" w:eastAsia="en-US"/>
        </w:rPr>
        <w:t>7 Key Applications of Artificial Intelligence in Robotic Surgery (2025).</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(n.d.). Liv Hospital.</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iCs/>
          <w:color w:val="auto"/>
          <w:kern w:val="2"/>
          <w:sz w:val="24"/>
          <w:szCs w:val="24"/>
          <w:highlight w:val="none"/>
          <w:vertAlign w:val="baseline"/>
          <w:lang w:val="en-IN" w:eastAsia="en-US"/>
        </w:rPr>
        <w:t>Artificial intelligence in healthcare.</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(n.d.). In Wikipedia. Retrieved March 20, 2026.</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Brylkov, M. (2025, July 17). AI surgical planning in 2025: Revolutionizing modern healthcare. </w:t>
      </w:r>
      <w:r>
        <w:rPr>
          <w:rFonts w:ascii="Aptos" w:cs="SimSun" w:eastAsia="Aptos" w:hAnsi="Aptos" w:hint="default"/>
          <w:b w:val="false"/>
          <w:bCs w:val="false"/>
          <w:i/>
          <w:iCs/>
          <w:color w:val="auto"/>
          <w:kern w:val="2"/>
          <w:sz w:val="24"/>
          <w:szCs w:val="24"/>
          <w:highlight w:val="none"/>
          <w:vertAlign w:val="baseline"/>
          <w:lang w:val="en-IN" w:eastAsia="en-US"/>
        </w:rPr>
        <w:t>iData Research</w:t>
      </w:r>
      <w:r>
        <w:rPr>
          <w:rFonts w:ascii="Aptos" w:cs="SimSun" w:eastAsia="Aptos" w:hAnsi="Aptos" w:hint="default"/>
          <w:b w:val="false"/>
          <w:bCs w:val="false"/>
          <w:i w:val="false"/>
          <w:iCs w:val="false"/>
          <w:color w:val="auto"/>
          <w:kern w:val="2"/>
          <w:sz w:val="24"/>
          <w:szCs w:val="24"/>
          <w:highlight w:val="none"/>
          <w:vertAlign w:val="baseline"/>
          <w:lang w:val="en-IN" w:eastAsia="en-US"/>
        </w:rPr>
        <w:t>.</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Choi, M. (2017). Medical Cost Personal Datasets. </w:t>
      </w:r>
      <w:r>
        <w:rPr>
          <w:rFonts w:ascii="Aptos" w:cs="SimSun" w:eastAsia="Aptos" w:hAnsi="Aptos" w:hint="default"/>
          <w:b w:val="false"/>
          <w:bCs w:val="false"/>
          <w:i/>
          <w:iCs/>
          <w:color w:val="auto"/>
          <w:kern w:val="2"/>
          <w:sz w:val="24"/>
          <w:szCs w:val="24"/>
          <w:highlight w:val="none"/>
          <w:vertAlign w:val="baseline"/>
          <w:lang w:val="en-IN" w:eastAsia="en-US"/>
        </w:rPr>
        <w:t>Kaggle</w:t>
      </w:r>
      <w:r>
        <w:rPr>
          <w:rFonts w:ascii="Aptos" w:cs="SimSun" w:eastAsia="Aptos" w:hAnsi="Aptos" w:hint="default"/>
          <w:b w:val="false"/>
          <w:bCs w:val="false"/>
          <w:i w:val="false"/>
          <w:iCs w:val="false"/>
          <w:color w:val="auto"/>
          <w:kern w:val="2"/>
          <w:sz w:val="24"/>
          <w:szCs w:val="24"/>
          <w:highlight w:val="none"/>
          <w:vertAlign w:val="baseline"/>
          <w:lang w:val="en-IN" w:eastAsia="en-US"/>
        </w:rPr>
        <w:t>.</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Ganadily, N., &amp; Xia, H. J. (n.d.). </w:t>
      </w:r>
      <w:r>
        <w:rPr>
          <w:rFonts w:ascii="Aptos" w:cs="SimSun" w:eastAsia="Aptos" w:hAnsi="Aptos" w:hint="default"/>
          <w:b w:val="false"/>
          <w:bCs w:val="false"/>
          <w:i/>
          <w:iCs/>
          <w:color w:val="auto"/>
          <w:kern w:val="2"/>
          <w:sz w:val="24"/>
          <w:szCs w:val="24"/>
          <w:highlight w:val="none"/>
          <w:vertAlign w:val="baseline"/>
          <w:lang w:val="en-IN" w:eastAsia="en-US"/>
        </w:rPr>
        <w:t>Privacy-Preserving Machine Learning for Electronic Health Records using Federated Learning and Differential Privacy.</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arXiv.</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Haas S, Wohlgemuth S, Echizen I, Sonehara N, Müller G. (2011). Aspects of privacy for electronic health records. </w:t>
      </w:r>
      <w:r>
        <w:rPr>
          <w:rFonts w:ascii="Aptos" w:cs="SimSun" w:eastAsia="Aptos" w:hAnsi="Aptos" w:hint="default"/>
          <w:b w:val="false"/>
          <w:bCs w:val="false"/>
          <w:i/>
          <w:iCs/>
          <w:color w:val="auto"/>
          <w:kern w:val="2"/>
          <w:sz w:val="24"/>
          <w:szCs w:val="24"/>
          <w:highlight w:val="none"/>
          <w:vertAlign w:val="baseline"/>
          <w:lang w:val="en-IN" w:eastAsia="en-US"/>
        </w:rPr>
        <w:t>Int J Med Inform.</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Feb;80(2):e26-31.</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iCs/>
          <w:color w:val="auto"/>
          <w:kern w:val="2"/>
          <w:sz w:val="24"/>
          <w:szCs w:val="24"/>
          <w:highlight w:val="none"/>
          <w:vertAlign w:val="baseline"/>
          <w:lang w:val="en-IN" w:eastAsia="en-US"/>
        </w:rPr>
        <w:t>IBM Watson.</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(n.d.). In Wikipedia. Retrieved March 20, 2026.</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Miller, B. (2025). The increasingly important role of AI in robotic-assisted surgery. </w:t>
      </w:r>
      <w:r>
        <w:rPr>
          <w:rFonts w:ascii="Aptos" w:cs="SimSun" w:eastAsia="Aptos" w:hAnsi="Aptos" w:hint="default"/>
          <w:b w:val="false"/>
          <w:bCs w:val="false"/>
          <w:i/>
          <w:iCs/>
          <w:color w:val="auto"/>
          <w:kern w:val="2"/>
          <w:sz w:val="24"/>
          <w:szCs w:val="24"/>
          <w:highlight w:val="none"/>
          <w:vertAlign w:val="baseline"/>
          <w:lang w:val="en-IN" w:eastAsia="en-US"/>
        </w:rPr>
        <w:t>American College of Healthcare Executives Blog</w:t>
      </w:r>
      <w:r>
        <w:rPr>
          <w:rFonts w:ascii="Aptos" w:cs="SimSun" w:eastAsia="Aptos" w:hAnsi="Aptos" w:hint="default"/>
          <w:b w:val="false"/>
          <w:bCs w:val="false"/>
          <w:i w:val="false"/>
          <w:iCs w:val="false"/>
          <w:color w:val="auto"/>
          <w:kern w:val="2"/>
          <w:sz w:val="24"/>
          <w:szCs w:val="24"/>
          <w:highlight w:val="none"/>
          <w:vertAlign w:val="baseline"/>
          <w:lang w:val="en-IN" w:eastAsia="en-US"/>
        </w:rPr>
        <w:t>.</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Nichols, G. (2025, January 13). </w:t>
      </w:r>
      <w:r>
        <w:rPr>
          <w:rFonts w:ascii="Aptos" w:cs="SimSun" w:eastAsia="Aptos" w:hAnsi="Aptos" w:hint="default"/>
          <w:b w:val="false"/>
          <w:bCs w:val="false"/>
          <w:i/>
          <w:iCs/>
          <w:color w:val="auto"/>
          <w:kern w:val="2"/>
          <w:sz w:val="24"/>
          <w:szCs w:val="24"/>
          <w:highlight w:val="none"/>
          <w:vertAlign w:val="baseline"/>
          <w:lang w:val="en-IN" w:eastAsia="en-US"/>
        </w:rPr>
        <w:t>How Patients Really Feel About Artificial Intelligence in Healthcare.</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Blood Cancer United.</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Wah, J. N. K. (2025). The rise of robotics and AI-assisted surgery in modern healthcare. </w:t>
      </w:r>
      <w:r>
        <w:rPr>
          <w:rFonts w:ascii="Aptos" w:cs="SimSun" w:eastAsia="Aptos" w:hAnsi="Aptos" w:hint="default"/>
          <w:b w:val="false"/>
          <w:bCs w:val="false"/>
          <w:i/>
          <w:iCs/>
          <w:color w:val="auto"/>
          <w:kern w:val="2"/>
          <w:sz w:val="24"/>
          <w:szCs w:val="24"/>
          <w:highlight w:val="none"/>
          <w:vertAlign w:val="baseline"/>
          <w:lang w:val="en-IN" w:eastAsia="en-US"/>
        </w:rPr>
        <w:t>Journal of Robotic Surgery, 19</w:t>
      </w:r>
      <w:r>
        <w:rPr>
          <w:rFonts w:ascii="Aptos" w:cs="SimSun" w:eastAsia="Aptos" w:hAnsi="Aptos" w:hint="default"/>
          <w:b w:val="false"/>
          <w:bCs w:val="false"/>
          <w:i w:val="false"/>
          <w:iCs w:val="false"/>
          <w:color w:val="auto"/>
          <w:kern w:val="2"/>
          <w:sz w:val="24"/>
          <w:szCs w:val="24"/>
          <w:highlight w:val="none"/>
          <w:vertAlign w:val="baseline"/>
          <w:lang w:val="en-IN" w:eastAsia="en-US"/>
        </w:rPr>
        <w:t>(1), 311.</w:t>
      </w:r>
    </w:p>
    <w:p>
      <w:pPr>
        <w:pStyle w:val="style0"/>
        <w:spacing w:after="160" w:lineRule="auto" w:line="278"/>
        <w:jc w:val="left"/>
        <w:rPr>
          <w:rFonts w:ascii="Rockwell" w:cs="Rockwell" w:eastAsia="Rockwell" w:hAnsi="Rockwell"/>
          <w:color w:val="000000"/>
          <w:sz w:val="22"/>
          <w:szCs w:val="22"/>
        </w:rPr>
      </w:pP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Walonoski, J., et al. (2018). Synthea: An approach, method, and software mechanism for generating synthetic patients and the synthetic electronic health care record. </w:t>
      </w:r>
      <w:r>
        <w:rPr>
          <w:rFonts w:ascii="Aptos" w:cs="SimSun" w:eastAsia="Aptos" w:hAnsi="Aptos" w:hint="default"/>
          <w:b w:val="false"/>
          <w:bCs w:val="false"/>
          <w:i/>
          <w:iCs/>
          <w:color w:val="auto"/>
          <w:kern w:val="2"/>
          <w:sz w:val="24"/>
          <w:szCs w:val="24"/>
          <w:highlight w:val="none"/>
          <w:vertAlign w:val="baseline"/>
          <w:lang w:val="en-IN" w:eastAsia="en-US"/>
        </w:rPr>
        <w:t>Journal of the American Medical Informatics Association.</w:t>
      </w:r>
      <w:r>
        <w:rPr>
          <w:rFonts w:ascii="Aptos" w:cs="SimSun" w:eastAsia="Aptos" w:hAnsi="Aptos" w:hint="default"/>
          <w:b w:val="false"/>
          <w:bCs w:val="false"/>
          <w:i w:val="false"/>
          <w:iCs w:val="false"/>
          <w:color w:val="auto"/>
          <w:kern w:val="2"/>
          <w:sz w:val="24"/>
          <w:szCs w:val="24"/>
          <w:highlight w:val="none"/>
          <w:vertAlign w:val="baseline"/>
          <w:lang w:val="en-IN" w:eastAsia="en-US"/>
        </w:rPr>
        <w:t xml:space="preserve"> Mar;25(3):230–238.</w:t>
      </w:r>
    </w:p>
    <w:p>
      <w:pPr>
        <w:pStyle w:val="style0"/>
        <w:spacing w:lineRule="auto" w:line="360"/>
        <w:jc w:val="both"/>
        <w:rPr>
          <w:rFonts w:ascii="Rockwell" w:cs="Rockwell" w:eastAsia="Rockwell" w:hAnsi="Rockwell"/>
          <w:color w:val="000000"/>
          <w:sz w:val="22"/>
          <w:szCs w:val="22"/>
        </w:rPr>
      </w:pPr>
      <w:r>
        <w:rPr>
          <w:rFonts w:ascii="Rockwell" w:cs="Rockwell" w:eastAsia="Rockwell" w:hAnsi="Rockwell"/>
          <w:color w:val="000000"/>
          <w:sz w:val="22"/>
          <w:szCs w:val="22"/>
        </w:rPr>
        <w:br w:type="page"/>
      </w:r>
    </w:p>
    <w:sectPr>
      <w:headerReference w:type="default" r:id="rId4"/>
      <w:footerReference w:type="default" r:id="rId5"/>
      <w:pgSz w:w="11909" w:h="16834" w:orient="portrait"/>
      <w:pgMar w:top="993" w:right="1440" w:bottom="1440" w:left="1800" w:header="864" w:footer="288" w:gutter="0"/>
      <w:pgBorders w:zOrder="front" w:display="allPages" w:offsetFrom="text">
        <w:top w:val="single" w:sz="8" w:space="1" w:color="auto"/>
        <w:left w:val="single" w:sz="8" w:space="4" w:color="auto"/>
        <w:bottom w:val="single" w:sz="8" w:space="1" w:color="auto"/>
        <w:right w:val="single" w:sz="8" w:space="4" w:color="auto"/>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entury Gothic">
    <w:altName w:val="Century Gothic"/>
    <w:panose1 w:val="020b0502020002020204"/>
    <w:charset w:val="00"/>
    <w:family w:val="auto"/>
    <w:pitch w:val="default"/>
    <w:sig w:usb0="00000287" w:usb1="00000000" w:usb2="00000000" w:usb3="00000000" w:csb0="2000009F" w:csb1="DFD70000"/>
  </w:font>
  <w:font w:name="Tahoma">
    <w:altName w:val="Tahoma"/>
    <w:panose1 w:val="020b0604030005040204"/>
    <w:charset w:val="00"/>
    <w:family w:val="auto"/>
    <w:pitch w:val="default"/>
    <w:sig w:usb0="E1002EFF" w:usb1="C000605B" w:usb2="00000029" w:usb3="00000000" w:csb0="200101FF" w:csb1="20280000"/>
  </w:font>
  <w:font w:name="Georgia">
    <w:altName w:val="Georgia"/>
    <w:panose1 w:val="02040502050004020303"/>
    <w:charset w:val="00"/>
    <w:family w:val="auto"/>
    <w:pitch w:val="default"/>
    <w:sig w:usb0="00000287" w:usb1="00000000" w:usb2="00000000" w:usb3="00000000" w:csb0="2000009F" w:csb1="00000000"/>
  </w:font>
  <w:font w:name="Rockwell">
    <w:altName w:val="Rockwell"/>
    <w:panose1 w:val="02060603020002020403"/>
    <w:charset w:val="00"/>
    <w:family w:val="auto"/>
    <w:pitch w:val="default"/>
    <w:sig w:usb0="00000003" w:usb1="00000000" w:usb2="00000000" w:usb3="00000000" w:csb0="20000001" w:csb1="00000000"/>
  </w:font>
  <w:font w:name="Quattrocento Sans">
    <w:altName w:val="Segoe Print"/>
    <w:panose1 w:val="00000000000000000000"/>
    <w:charset w:val="00"/>
    <w:family w:val="auto"/>
    <w:pitch w:val="default"/>
    <w:sig w:usb0="00000000" w:usb1="00000000" w:usb2="00000000" w:usb3="00000000" w:csb0="00000000" w:csb1="00000000"/>
  </w:font>
  <w:font w:name="Garamond">
    <w:altName w:val="Garamond"/>
    <w:panose1 w:val="02020404030003010803"/>
    <w:charset w:val="00"/>
    <w:family w:val="auto"/>
    <w:pitch w:val="default"/>
    <w:sig w:usb0="00000287" w:usb1="00000000" w:usb2="00000000" w:usb3="00000000" w:csb0="0000009F" w:csb1="DFD70000"/>
  </w:font>
  <w:font w:name="CIDFont+F1">
    <w:altName w:val="Segoe Print"/>
    <w:panose1 w:val="00000000000000000000"/>
    <w:charset w:val="00"/>
    <w:family w:val="auto"/>
    <w:pitch w:val="default"/>
    <w:sig w:usb0="00000000" w:usb1="00000000" w:usb2="00000000" w:usb3="00000000" w:csb0="00000000" w:csb1="00000000"/>
  </w:font>
  <w:font w:name="Aptos">
    <w:altName w:val="Times New Roman"/>
    <w:panose1 w:val="02020603050000020304"/>
    <w:charset w:val="00"/>
    <w:family w:val="roman"/>
    <w:pitch w:val="default"/>
    <w:sig w:usb0="00000000" w:usb1="00000000" w:usb2="00000008" w:usb3="00000000" w:csb0="000001FF" w:csb1="00000000"/>
  </w:font>
  <w:font w:name="Segoe Print">
    <w:altName w:val="Segoe Print"/>
    <w:panose1 w:val="02000600000000000000"/>
    <w:charset w:val="00"/>
    <w:family w:val="auto"/>
    <w:pitch w:val="default"/>
    <w:sig w:usb0="0000028F" w:usb1="00000000" w:usb2="00000000" w:usb3="00000000" w:csb0="2000009F" w:csb1="47010000"/>
  </w:font>
  <w:font w:name="Arial Unicode MS">
    <w:altName w:val="Arial Unicode MS"/>
    <w:panose1 w:val="020b0604020002020204"/>
    <w:charset w:val="86"/>
    <w:family w:val="auto"/>
    <w:pitch w:val="default"/>
    <w:sig w:usb0="FFFFFFFF" w:usb1="E9FFFFFF" w:usb2="0000003F" w:usb3="00000000" w:csb0="603F01FF" w:csb1="FFFF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95"/>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uiPriority w:val="0"/>
    <w:pPr>
      <w:jc w:val="both"/>
    </w:pPr>
    <w:rPr>
      <w:sz w:val="21"/>
      <w:szCs w:val="24"/>
    </w:rPr>
  </w:style>
  <w:style w:type="paragraph" w:styleId="style1">
    <w:name w:val="heading 1"/>
    <w:basedOn w:val="style4097"/>
    <w:next w:val="style4097"/>
    <w:uiPriority w:val="0"/>
    <w:pPr>
      <w:keepNext/>
      <w:spacing w:before="240" w:after="60"/>
    </w:pPr>
    <w:rPr>
      <w:rFonts w:ascii="Arial" w:cs="Arial" w:eastAsia="Arial" w:hAnsi="Arial"/>
      <w:b/>
      <w:bCs/>
      <w:sz w:val="32"/>
      <w:szCs w:val="32"/>
    </w:rPr>
  </w:style>
  <w:style w:type="paragraph" w:styleId="style2">
    <w:name w:val="heading 2"/>
    <w:basedOn w:val="style4097"/>
    <w:next w:val="style4097"/>
    <w:uiPriority w:val="0"/>
    <w:pPr>
      <w:keepNext/>
      <w:jc w:val="center"/>
    </w:pPr>
    <w:rPr>
      <w:rFonts w:ascii="Arial" w:cs="Arial" w:eastAsia="Arial" w:hAnsi="Arial"/>
      <w:b/>
      <w:bCs/>
    </w:rPr>
  </w:style>
  <w:style w:type="paragraph" w:styleId="style3">
    <w:name w:val="heading 3"/>
    <w:basedOn w:val="style4097"/>
    <w:next w:val="style4097"/>
    <w:qFormat/>
    <w:uiPriority w:val="0"/>
    <w:pPr>
      <w:keepNext/>
      <w:jc w:val="center"/>
    </w:pPr>
    <w:rPr>
      <w:rFonts w:ascii="Arial" w:cs="Arial" w:eastAsia="Arial" w:hAnsi="Arial"/>
      <w:sz w:val="26"/>
      <w:szCs w:val="26"/>
    </w:rPr>
  </w:style>
  <w:style w:type="paragraph" w:styleId="style4">
    <w:name w:val="heading 4"/>
    <w:basedOn w:val="style4097"/>
    <w:next w:val="style4097"/>
    <w:uiPriority w:val="0"/>
    <w:pPr>
      <w:keepNext/>
      <w:jc w:val="right"/>
    </w:pPr>
    <w:rPr>
      <w:sz w:val="26"/>
      <w:szCs w:val="26"/>
    </w:rPr>
  </w:style>
  <w:style w:type="paragraph" w:styleId="style5">
    <w:name w:val="heading 5"/>
    <w:basedOn w:val="style4097"/>
    <w:next w:val="style4097"/>
    <w:uiPriority w:val="0"/>
    <w:pPr>
      <w:keepNext/>
      <w:jc w:val="right"/>
    </w:pPr>
    <w:rPr>
      <w:rFonts w:ascii="Century Gothic" w:cs="Century Gothic" w:eastAsia="Century Gothic" w:hAnsi="Century Gothic"/>
      <w:b/>
      <w:bCs/>
    </w:rPr>
  </w:style>
  <w:style w:type="paragraph" w:styleId="style6">
    <w:name w:val="heading 6"/>
    <w:basedOn w:val="style4097"/>
    <w:next w:val="style4097"/>
    <w:uiPriority w:val="0"/>
    <w:pPr>
      <w:spacing w:before="240" w:after="60"/>
    </w:pPr>
    <w:rPr>
      <w:b/>
      <w:bCs/>
      <w:sz w:val="22"/>
      <w:szCs w:val="22"/>
    </w:rPr>
  </w:style>
  <w:style w:type="paragraph" w:styleId="style7">
    <w:name w:val="heading 7"/>
    <w:basedOn w:val="style4097"/>
    <w:next w:val="style4097"/>
    <w:qFormat/>
    <w:uiPriority w:val="0"/>
    <w:pPr>
      <w:spacing w:before="240" w:after="60"/>
      <w:outlineLvl w:val="6"/>
    </w:pPr>
    <w:rPr/>
  </w:style>
  <w:style w:type="paragraph" w:styleId="style8">
    <w:name w:val="heading 8"/>
    <w:basedOn w:val="style4097"/>
    <w:next w:val="style4097"/>
    <w:qFormat/>
    <w:uiPriority w:val="0"/>
    <w:pPr>
      <w:spacing w:before="240" w:after="60"/>
      <w:outlineLvl w:val="7"/>
    </w:pPr>
    <w:rPr>
      <w:i/>
      <w:iCs/>
    </w:rPr>
  </w:style>
  <w:style w:type="paragraph" w:styleId="style9">
    <w:name w:val="heading 9"/>
    <w:basedOn w:val="style4097"/>
    <w:next w:val="style4097"/>
    <w:qFormat/>
    <w:uiPriority w:val="0"/>
    <w:pPr>
      <w:spacing w:before="240" w:after="60"/>
      <w:outlineLvl w:val="8"/>
    </w:pPr>
    <w:rPr>
      <w:rFonts w:ascii="Arial" w:cs="Arial" w:hAnsi="Arial"/>
      <w:sz w:val="22"/>
      <w:szCs w:val="22"/>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customStyle="1" w:styleId="style4097">
    <w:name w:val="normal"/>
    <w:next w:val="style4097"/>
    <w:uiPriority w:val="0"/>
    <w:pPr/>
    <w:rPr>
      <w:sz w:val="24"/>
      <w:szCs w:val="24"/>
    </w:rPr>
  </w:style>
  <w:style w:type="paragraph" w:styleId="style153">
    <w:name w:val="Balloon Text"/>
    <w:basedOn w:val="style4097"/>
    <w:next w:val="style153"/>
    <w:link w:val="style4098"/>
    <w:qFormat/>
    <w:uiPriority w:val="0"/>
    <w:pPr/>
    <w:rPr>
      <w:rFonts w:ascii="Tahoma" w:cs="Tahoma" w:hAnsi="Tahoma"/>
      <w:sz w:val="16"/>
      <w:szCs w:val="16"/>
    </w:rPr>
  </w:style>
  <w:style w:type="paragraph" w:styleId="style66">
    <w:name w:val="Body Text"/>
    <w:basedOn w:val="style4097"/>
    <w:next w:val="style66"/>
    <w:qFormat/>
    <w:uiPriority w:val="0"/>
    <w:pPr>
      <w:spacing w:after="120"/>
    </w:pPr>
    <w:rPr/>
  </w:style>
  <w:style w:type="paragraph" w:styleId="style80">
    <w:name w:val="Body Text 2"/>
    <w:basedOn w:val="style4097"/>
    <w:next w:val="style80"/>
    <w:uiPriority w:val="0"/>
    <w:pPr>
      <w:jc w:val="center"/>
    </w:pPr>
    <w:rPr>
      <w:b/>
      <w:sz w:val="26"/>
      <w:szCs w:val="20"/>
    </w:rPr>
  </w:style>
  <w:style w:type="paragraph" w:styleId="style67">
    <w:name w:val="Body Text Indent"/>
    <w:basedOn w:val="style4097"/>
    <w:next w:val="style67"/>
    <w:uiPriority w:val="0"/>
    <w:pPr>
      <w:spacing w:after="120"/>
      <w:ind w:left="360"/>
    </w:pPr>
    <w:rPr/>
  </w:style>
  <w:style w:type="paragraph" w:styleId="style32">
    <w:name w:val="footer"/>
    <w:basedOn w:val="style4097"/>
    <w:next w:val="style32"/>
    <w:link w:val="style4100"/>
    <w:uiPriority w:val="0"/>
    <w:pPr>
      <w:tabs>
        <w:tab w:val="center" w:leader="none" w:pos="4680"/>
        <w:tab w:val="right" w:leader="none" w:pos="9360"/>
      </w:tabs>
    </w:pPr>
    <w:rPr/>
  </w:style>
  <w:style w:type="paragraph" w:styleId="style31">
    <w:name w:val="header"/>
    <w:basedOn w:val="style4097"/>
    <w:next w:val="style31"/>
    <w:link w:val="style4099"/>
    <w:qFormat/>
    <w:uiPriority w:val="0"/>
    <w:pPr>
      <w:tabs>
        <w:tab w:val="center" w:leader="none" w:pos="4680"/>
        <w:tab w:val="right" w:leader="none" w:pos="9360"/>
      </w:tabs>
    </w:pPr>
    <w:rPr/>
  </w:style>
  <w:style w:type="character" w:styleId="style87">
    <w:name w:val="Strong"/>
    <w:basedOn w:val="style65"/>
    <w:next w:val="style87"/>
    <w:qFormat/>
    <w:uiPriority w:val="22"/>
    <w:rPr>
      <w:b/>
      <w:bCs/>
    </w:rPr>
  </w:style>
  <w:style w:type="paragraph" w:styleId="style74">
    <w:name w:val="Subtitle"/>
    <w:basedOn w:val="style4097"/>
    <w:next w:val="style4097"/>
    <w:uiPriority w:val="0"/>
    <w:pPr>
      <w:keepNext/>
      <w:keepLines/>
      <w:pageBreakBefore w:val="false"/>
      <w:spacing w:before="360" w:after="80"/>
    </w:pPr>
    <w:rPr>
      <w:rFonts w:ascii="Georgia" w:cs="Georgia" w:eastAsia="Georgia" w:hAnsi="Georgia"/>
      <w:i/>
      <w:iCs/>
      <w:color w:val="666666"/>
      <w:sz w:val="48"/>
      <w:szCs w:val="48"/>
    </w:rPr>
  </w:style>
  <w:style w:type="table" w:styleId="style154">
    <w:name w:val="Table Grid"/>
    <w:basedOn w:val="style105"/>
    <w:next w:val="style154"/>
    <w:uiPriority w:val="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2">
    <w:name w:val="Title"/>
    <w:basedOn w:val="style4097"/>
    <w:next w:val="style4097"/>
    <w:qFormat/>
    <w:uiPriority w:val="0"/>
    <w:pPr>
      <w:keepNext/>
      <w:keepLines/>
      <w:pageBreakBefore w:val="false"/>
      <w:spacing w:before="480" w:after="120"/>
    </w:pPr>
    <w:rPr>
      <w:b/>
      <w:bCs/>
      <w:sz w:val="72"/>
      <w:szCs w:val="72"/>
    </w:rPr>
  </w:style>
  <w:style w:type="paragraph" w:styleId="style157">
    <w:name w:val="No Spacing"/>
    <w:next w:val="style157"/>
    <w:qFormat/>
    <w:uiPriority w:val="1"/>
    <w:pPr/>
    <w:rPr>
      <w:sz w:val="24"/>
      <w:szCs w:val="24"/>
    </w:rPr>
  </w:style>
  <w:style w:type="character" w:customStyle="1" w:styleId="style4098">
    <w:name w:val="Balloon Text Char"/>
    <w:basedOn w:val="style65"/>
    <w:next w:val="style4098"/>
    <w:link w:val="style153"/>
    <w:qFormat/>
    <w:uiPriority w:val="0"/>
    <w:rPr>
      <w:rFonts w:ascii="Tahoma" w:cs="Tahoma" w:hAnsi="Tahoma"/>
      <w:sz w:val="16"/>
      <w:szCs w:val="16"/>
    </w:rPr>
  </w:style>
  <w:style w:type="character" w:customStyle="1" w:styleId="style4099">
    <w:name w:val="Header Char_08a2a46c-4ba9-4130-8b88-1cf764c1e091"/>
    <w:basedOn w:val="style65"/>
    <w:next w:val="style4099"/>
    <w:link w:val="style31"/>
    <w:uiPriority w:val="0"/>
    <w:rPr>
      <w:sz w:val="24"/>
      <w:szCs w:val="24"/>
    </w:rPr>
  </w:style>
  <w:style w:type="character" w:customStyle="1" w:styleId="style4100">
    <w:name w:val="Footer Char_ae43b700-61ba-41ea-876d-11939ebf9765"/>
    <w:basedOn w:val="style65"/>
    <w:next w:val="style4100"/>
    <w:link w:val="style32"/>
    <w:uiPriority w:val="0"/>
    <w:rPr>
      <w:sz w:val="24"/>
      <w:szCs w:val="24"/>
    </w:rPr>
  </w:style>
  <w:style w:type="paragraph" w:styleId="style179">
    <w:name w:val="List Paragraph"/>
    <w:basedOn w:val="style4097"/>
    <w:next w:val="style179"/>
    <w:qFormat/>
    <w:uiPriority w:val="34"/>
    <w:pPr>
      <w:widowControl w:val="false"/>
      <w:suppressAutoHyphens/>
      <w:spacing w:after="200" w:lineRule="auto" w:line="276"/>
      <w:ind w:left="720" w:leftChars="-1" w:hanging="1" w:hangingChars="1"/>
      <w:outlineLvl w:val="0"/>
      <w:contextualSpacing/>
    </w:pPr>
    <w:rPr>
      <w:rFonts w:ascii="Calibri" w:cs="Calibri" w:eastAsia="Calibri" w:hAnsi="Calibri"/>
      <w:position w:val="-1"/>
      <w:sz w:val="22"/>
      <w:szCs w:val="22"/>
    </w:rPr>
  </w:style>
  <w:style w:type="table" w:customStyle="1" w:styleId="style4101">
    <w:name w:val="_Style 27"/>
    <w:basedOn w:val="style105"/>
    <w:next w:val="style4101"/>
    <w:uiPriority w:val="0"/>
    <w:pPr/>
    <w:rPr/>
    <w:tblPr>
      <w:tblCellMar>
        <w:top w:w="0" w:type="dxa"/>
        <w:left w:w="108" w:type="dxa"/>
        <w:bottom w:w="0" w:type="dxa"/>
        <w:right w:w="108" w:type="dxa"/>
      </w:tblCellMar>
    </w:tblPr>
    <w:tcPr>
      <w:tcBorders/>
    </w:tcPr>
  </w:style>
  <w:style w:type="table" w:customStyle="1" w:styleId="style4102">
    <w:name w:val="_Style 28"/>
    <w:basedOn w:val="style105"/>
    <w:next w:val="style4102"/>
    <w:uiPriority w:val="0"/>
    <w:pPr/>
    <w:rPr/>
    <w:tblPr>
      <w:tblCellMar>
        <w:top w:w="0" w:type="dxa"/>
        <w:left w:w="115" w:type="dxa"/>
        <w:bottom w:w="0" w:type="dxa"/>
        <w:right w:w="115"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eader" Target="header1.xml"/><Relationship Id="rId9" Type="http://schemas.openxmlformats.org/officeDocument/2006/relationships/theme" Target="theme/theme1.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6</TotalTime>
  <Words>3509</Words>
  <Pages>11</Pages>
  <Characters>21585</Characters>
  <Application>WPS Office</Application>
  <Paragraphs>168</Paragraphs>
  <ScaleCrop>false</ScaleCrop>
  <LinksUpToDate>false</LinksUpToDate>
  <CharactersWithSpaces>25067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2025-11-26T17:23:00Z</dcterms:created>
  <dc:creator>lijo</dc:creator>
  <lastModifiedBy>220233L2I</lastModifiedBy>
  <dcterms:modified xsi:type="dcterms:W3CDTF">2026-01-30T03:47:52Z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a92303649f9640768189042d5a120fb5</vt:lpwstr>
  </property>
  <property fmtid="{D5CDD505-2E9C-101B-9397-08002B2CF9AE}" pid="3" name="KSOProductBuildVer">
    <vt:lpwstr>1033-12.2.0.23196</vt:lpwstr>
  </property>
</Properties>
</file>