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rFonts w:ascii="Times New Roman" w:hAnsi="Times New Roman" w:cs="Times New Roman"/>
          <w:b/>
          <w:sz w:val="28"/>
          <w:szCs w:val="28"/>
        </w:rPr>
        <w:t xml:space="preserve">Author Response to Reviewers</w:t>
      </w:r>
    </w:p>
    <w:p>
      <w:r>
        <w:rPr>
          <w:rFonts w:ascii="Times New Roman" w:hAnsi="Times New Roman" w:cs="Times New Roman"/>
          <w:sz w:val="20"/>
          <w:szCs w:val="20"/>
        </w:rPr>
        <w:t xml:space="preserve">Manuscript: Mechanical Behaviour of Recycled PET Fibre-Reinforced Concrete for M20 and M30 Grades. Journal: IJATEE.</w:t>
      </w:r>
    </w:p>
    <w:p>
      <w:r>
        <w:rPr>
          <w:rFonts w:ascii="Times New Roman" w:hAnsi="Times New Roman" w:cs="Times New Roman"/>
          <w:sz w:val="20"/>
          <w:szCs w:val="20"/>
        </w:rPr>
        <w:t xml:space="preserve">We thank the reviewers for their careful reading and constructive comments. We have addressed every point. Our responses are below. New and revised text in the manuscript is shown in red.</w:t>
      </w:r>
    </w:p>
    <w:p>
      <w:r>
        <w:rPr>
          <w:rFonts w:ascii="Times New Roman" w:hAnsi="Times New Roman" w:cs="Times New Roman"/>
          <w:b/>
          <w:sz w:val="22"/>
          <w:szCs w:val="22"/>
        </w:rPr>
        <w:t xml:space="preserve">Reviewer 1, Comment 1</w:t>
      </w:r>
    </w:p>
    <w:p>
      <w:r>
        <w:rPr>
          <w:rFonts w:ascii="Times New Roman" w:hAnsi="Times New Roman" w:cs="Times New Roman"/>
          <w:sz w:val="20"/>
          <w:szCs w:val="20"/>
        </w:rPr>
        <w:t xml:space="preserve">Comment: Rigorous English revision is still needed.</w:t>
      </w:r>
    </w:p>
    <w:p>
      <w:r>
        <w:rPr>
          <w:rFonts w:ascii="Times New Roman" w:hAnsi="Times New Roman" w:cs="Times New Roman"/>
          <w:color w:val="C00000"/>
          <w:sz w:val="20"/>
          <w:szCs w:val="20"/>
        </w:rPr>
        <w:t xml:space="preserve">Response: We thank the reviewer. We revised the whole paper into plain, precise academic English with short active sentences. We removed em dashes and semicolons. See all sections.</w:t>
      </w:r>
    </w:p>
    <w:p>
      <w:r>
        <w:rPr>
          <w:rFonts w:ascii="Times New Roman" w:hAnsi="Times New Roman" w:cs="Times New Roman"/>
          <w:b/>
          <w:sz w:val="22"/>
          <w:szCs w:val="22"/>
        </w:rPr>
        <w:t xml:space="preserve">Reviewer 1, Comment 2</w:t>
      </w:r>
    </w:p>
    <w:p>
      <w:r>
        <w:rPr>
          <w:rFonts w:ascii="Times New Roman" w:hAnsi="Times New Roman" w:cs="Times New Roman"/>
          <w:sz w:val="20"/>
          <w:szCs w:val="20"/>
        </w:rPr>
        <w:t xml:space="preserve">Comment: Improve picture quality of Figure 1. It should not be generated by AI tools.</w:t>
      </w:r>
    </w:p>
    <w:p>
      <w:r>
        <w:rPr>
          <w:rFonts w:ascii="Times New Roman" w:hAnsi="Times New Roman" w:cs="Times New Roman"/>
          <w:color w:val="C00000"/>
          <w:sz w:val="20"/>
          <w:szCs w:val="20"/>
        </w:rPr>
        <w:t xml:space="preserve">Response: We agree. We redrew Figure 1 as a clean vector schematic using plotting software. It is a 300 dpi flowchart of the experimental programme with consistent fonts and labels. See Figure 1 in Section 2.</w:t>
      </w:r>
    </w:p>
    <w:p>
      <w:r>
        <w:rPr>
          <w:rFonts w:ascii="Times New Roman" w:hAnsi="Times New Roman" w:cs="Times New Roman"/>
          <w:b/>
          <w:sz w:val="22"/>
          <w:szCs w:val="22"/>
        </w:rPr>
        <w:t xml:space="preserve">Reviewer 1, Comment 3</w:t>
      </w:r>
    </w:p>
    <w:p>
      <w:r>
        <w:rPr>
          <w:rFonts w:ascii="Times New Roman" w:hAnsi="Times New Roman" w:cs="Times New Roman"/>
          <w:sz w:val="20"/>
          <w:szCs w:val="20"/>
        </w:rPr>
        <w:t xml:space="preserve">Comment: Conclusion should be in paragraph form.</w:t>
      </w:r>
    </w:p>
    <w:p>
      <w:r>
        <w:rPr>
          <w:rFonts w:ascii="Times New Roman" w:hAnsi="Times New Roman" w:cs="Times New Roman"/>
          <w:color w:val="C00000"/>
          <w:sz w:val="20"/>
          <w:szCs w:val="20"/>
        </w:rPr>
        <w:t xml:space="preserve">Response: Done. The conclusion is now a single continuous paragraph. See Section 6.</w:t>
      </w:r>
    </w:p>
    <w:p>
      <w:r>
        <w:rPr>
          <w:rFonts w:ascii="Times New Roman" w:hAnsi="Times New Roman" w:cs="Times New Roman"/>
          <w:b/>
          <w:sz w:val="22"/>
          <w:szCs w:val="22"/>
        </w:rPr>
        <w:t xml:space="preserve">Reviewer 1, Comment 4</w:t>
      </w:r>
    </w:p>
    <w:p>
      <w:r>
        <w:rPr>
          <w:rFonts w:ascii="Times New Roman" w:hAnsi="Times New Roman" w:cs="Times New Roman"/>
          <w:sz w:val="20"/>
          <w:szCs w:val="20"/>
        </w:rPr>
        <w:t xml:space="preserve">Comment: Only 3 specimens per mix-age combination remain a limitation, and microstructural evidence (SEM, optical microscopy, CT, EDS, ITZ) is missing.</w:t>
      </w:r>
    </w:p>
    <w:p>
      <w:r>
        <w:rPr>
          <w:rFonts w:ascii="Times New Roman" w:hAnsi="Times New Roman" w:cs="Times New Roman"/>
          <w:color w:val="C00000"/>
          <w:sz w:val="20"/>
          <w:szCs w:val="20"/>
        </w:rPr>
        <w:t xml:space="preserve">Response: We thank the reviewer and we agree. New microstructural experiments are beyond the present scope because no new specimens or imaging facilities are available for this revision. We state the small sample size and the absence of in-house imaging as explicit limitations. We support the mechanism discussion with published microstructural evidence, namely Silva et al. (2005) on alkaline hydrolysis and falling toughness indices and Pelisser et al. (2012) on SEM-observed PET degradation and increased porosity. See Discussion Section 4 and Limitations Section 5.</w:t>
      </w:r>
    </w:p>
    <w:p>
      <w:r>
        <w:rPr>
          <w:rFonts w:ascii="Times New Roman" w:hAnsi="Times New Roman" w:cs="Times New Roman"/>
          <w:b/>
          <w:sz w:val="22"/>
          <w:szCs w:val="22"/>
        </w:rPr>
        <w:t xml:space="preserve">Reviewer 1, Comment 5</w:t>
      </w:r>
    </w:p>
    <w:p>
      <w:r>
        <w:rPr>
          <w:rFonts w:ascii="Times New Roman" w:hAnsi="Times New Roman" w:cs="Times New Roman"/>
          <w:sz w:val="20"/>
          <w:szCs w:val="20"/>
        </w:rPr>
        <w:t xml:space="preserve">Comment: Fibre dispersion is not experimentally verified.</w:t>
      </w:r>
    </w:p>
    <w:p>
      <w:r>
        <w:rPr>
          <w:rFonts w:ascii="Times New Roman" w:hAnsi="Times New Roman" w:cs="Times New Roman"/>
          <w:color w:val="C00000"/>
          <w:sz w:val="20"/>
          <w:szCs w:val="20"/>
        </w:rPr>
        <w:t xml:space="preserve">Response: We agree. Image-based dispersion and void analysis is beyond the present scope. We state this as a limitation. We support the clustering-and-balling interpretation with published work showing that high PET dosage causes fibre balling, poor dispersion, and higher voids that lower strength. See Sections 4 and 5.</w:t>
      </w:r>
    </w:p>
    <w:p>
      <w:r>
        <w:rPr>
          <w:rFonts w:ascii="Times New Roman" w:hAnsi="Times New Roman" w:cs="Times New Roman"/>
          <w:b/>
          <w:sz w:val="22"/>
          <w:szCs w:val="22"/>
        </w:rPr>
        <w:t xml:space="preserve">Reviewer 1, Comment 6</w:t>
      </w:r>
    </w:p>
    <w:p>
      <w:r>
        <w:rPr>
          <w:rFonts w:ascii="Times New Roman" w:hAnsi="Times New Roman" w:cs="Times New Roman"/>
          <w:sz w:val="20"/>
          <w:szCs w:val="20"/>
        </w:rPr>
        <w:t xml:space="preserve">Comment: Only one PET geometry is tested and durability testing is absent.</w:t>
      </w:r>
    </w:p>
    <w:p>
      <w:r>
        <w:rPr>
          <w:rFonts w:ascii="Times New Roman" w:hAnsi="Times New Roman" w:cs="Times New Roman"/>
          <w:color w:val="C00000"/>
          <w:sz w:val="20"/>
          <w:szCs w:val="20"/>
        </w:rPr>
        <w:t xml:space="preserve">Response: We agree on both points. Testing more geometries and running durability tests is beyond the present scope. We state both as limitations and plan them as future work. We support the expected durability behaviour with Won et al. (2010) and Fraternali et al. (2014), and the geometry effects with Kim et al. (2008). See Section 5.</w:t>
      </w:r>
    </w:p>
    <w:p>
      <w:r>
        <w:rPr>
          <w:rFonts w:ascii="Times New Roman" w:hAnsi="Times New Roman" w:cs="Times New Roman"/>
          <w:b/>
          <w:sz w:val="22"/>
          <w:szCs w:val="22"/>
        </w:rPr>
        <w:t xml:space="preserve">Reviewer 1, Comment 7</w:t>
      </w:r>
    </w:p>
    <w:p>
      <w:r>
        <w:rPr>
          <w:rFonts w:ascii="Times New Roman" w:hAnsi="Times New Roman" w:cs="Times New Roman"/>
          <w:sz w:val="20"/>
          <w:szCs w:val="20"/>
        </w:rPr>
        <w:t xml:space="preserve">Comment: Workability optimisation is incomplete.</w:t>
      </w:r>
    </w:p>
    <w:p>
      <w:r>
        <w:rPr>
          <w:rFonts w:ascii="Times New Roman" w:hAnsi="Times New Roman" w:cs="Times New Roman"/>
          <w:color w:val="C00000"/>
          <w:sz w:val="20"/>
          <w:szCs w:val="20"/>
        </w:rPr>
        <w:t xml:space="preserve">Response: We agree. Superplasticiser optimisation and a formal workability-strength trade-off are beyond the present scope. We state this as a limitation and support the trend with a published review. See Sections 5.</w:t>
      </w:r>
    </w:p>
    <w:p>
      <w:r>
        <w:rPr>
          <w:rFonts w:ascii="Times New Roman" w:hAnsi="Times New Roman" w:cs="Times New Roman"/>
          <w:b/>
          <w:sz w:val="22"/>
          <w:szCs w:val="22"/>
        </w:rPr>
        <w:t xml:space="preserve">Reviewer 1, Comment 8</w:t>
      </w:r>
    </w:p>
    <w:p>
      <w:r>
        <w:rPr>
          <w:rFonts w:ascii="Times New Roman" w:hAnsi="Times New Roman" w:cs="Times New Roman"/>
          <w:sz w:val="20"/>
          <w:szCs w:val="20"/>
        </w:rPr>
        <w:t xml:space="preserve">Comment: The 1.0 percent optimum should not be generalised to all grades.</w:t>
      </w:r>
    </w:p>
    <w:p>
      <w:r>
        <w:rPr>
          <w:rFonts w:ascii="Times New Roman" w:hAnsi="Times New Roman" w:cs="Times New Roman"/>
          <w:color w:val="C00000"/>
          <w:sz w:val="20"/>
          <w:szCs w:val="20"/>
        </w:rPr>
        <w:t xml:space="preserve">Response: We agree and we corrected the text. We now state the 1.0 percent optimum applies only to the M20 and M30 grades tested. We cite data showing the fibre effect depends on matrix strength. See Abstract, Discussion, Conclusion, and Section 5.</w:t>
      </w:r>
    </w:p>
    <w:p>
      <w:r>
        <w:rPr>
          <w:rFonts w:ascii="Times New Roman" w:hAnsi="Times New Roman" w:cs="Times New Roman"/>
          <w:b/>
          <w:sz w:val="22"/>
          <w:szCs w:val="22"/>
        </w:rPr>
        <w:t xml:space="preserve">Reviewer 1, Comment 9</w:t>
      </w:r>
    </w:p>
    <w:p>
      <w:r>
        <w:rPr>
          <w:rFonts w:ascii="Times New Roman" w:hAnsi="Times New Roman" w:cs="Times New Roman"/>
          <w:sz w:val="20"/>
          <w:szCs w:val="20"/>
        </w:rPr>
        <w:t xml:space="preserve">Comment: Long-term performance is limited.</w:t>
      </w:r>
    </w:p>
    <w:p>
      <w:r>
        <w:rPr>
          <w:rFonts w:ascii="Times New Roman" w:hAnsi="Times New Roman" w:cs="Times New Roman"/>
          <w:color w:val="C00000"/>
          <w:sz w:val="20"/>
          <w:szCs w:val="20"/>
        </w:rPr>
        <w:t xml:space="preserve">Response: We agree. Creep, fatigue, cyclic loading, aging, alkaline degradation, and 180 and 365-day tests are beyond the present scope. We state this and cite long-term degradation studies. See Section 5.</w:t>
      </w:r>
    </w:p>
    <w:p>
      <w:r>
        <w:rPr>
          <w:rFonts w:ascii="Times New Roman" w:hAnsi="Times New Roman" w:cs="Times New Roman"/>
          <w:b/>
          <w:sz w:val="22"/>
          <w:szCs w:val="22"/>
        </w:rPr>
        <w:t xml:space="preserve">Reviewer 1, Comment 10</w:t>
      </w:r>
    </w:p>
    <w:p>
      <w:r>
        <w:rPr>
          <w:rFonts w:ascii="Times New Roman" w:hAnsi="Times New Roman" w:cs="Times New Roman"/>
          <w:sz w:val="20"/>
          <w:szCs w:val="20"/>
        </w:rPr>
        <w:t xml:space="preserve">Comment: Sustainability analysis is only indicative.</w:t>
      </w:r>
    </w:p>
    <w:p>
      <w:r>
        <w:rPr>
          <w:rFonts w:ascii="Times New Roman" w:hAnsi="Times New Roman" w:cs="Times New Roman"/>
          <w:color w:val="C00000"/>
          <w:sz w:val="20"/>
          <w:szCs w:val="20"/>
        </w:rPr>
        <w:t xml:space="preserve">Response: We agree. A full life-cycle assessment and cost-benefit study are beyond the present scope. We describe our carbon result as a first-order estimate and plan a full LCA as future work. See Section 5.</w:t>
      </w:r>
    </w:p>
    <w:p>
      <w:r>
        <w:rPr>
          <w:rFonts w:ascii="Times New Roman" w:hAnsi="Times New Roman" w:cs="Times New Roman"/>
          <w:b/>
          <w:sz w:val="22"/>
          <w:szCs w:val="22"/>
        </w:rPr>
        <w:t xml:space="preserve">Reviewer 1, Comment 11</w:t>
      </w:r>
    </w:p>
    <w:p>
      <w:r>
        <w:rPr>
          <w:rFonts w:ascii="Times New Roman" w:hAnsi="Times New Roman" w:cs="Times New Roman"/>
          <w:sz w:val="20"/>
          <w:szCs w:val="20"/>
        </w:rPr>
        <w:t xml:space="preserve">Comment: Comparison with other fibres is limited.</w:t>
      </w:r>
    </w:p>
    <w:p>
      <w:r>
        <w:rPr>
          <w:rFonts w:ascii="Times New Roman" w:hAnsi="Times New Roman" w:cs="Times New Roman"/>
          <w:color w:val="C00000"/>
          <w:sz w:val="20"/>
          <w:szCs w:val="20"/>
        </w:rPr>
        <w:t xml:space="preserve">Response: We agree. Parallel casting of steel and polypropylene fibre concrete is beyond the present scope. We present a fair qualitative comparison from literature and cite direct comparative studies. See Section 4 and Section 5.</w:t>
      </w:r>
    </w:p>
    <w:p>
      <w:r>
        <w:rPr>
          <w:rFonts w:ascii="Times New Roman" w:hAnsi="Times New Roman" w:cs="Times New Roman"/>
          <w:b/>
          <w:sz w:val="22"/>
          <w:szCs w:val="22"/>
        </w:rPr>
        <w:t xml:space="preserve">Reviewer 1, Comment 12</w:t>
      </w:r>
    </w:p>
    <w:p>
      <w:r>
        <w:rPr>
          <w:rFonts w:ascii="Times New Roman" w:hAnsi="Times New Roman" w:cs="Times New Roman"/>
          <w:sz w:val="20"/>
          <w:szCs w:val="20"/>
        </w:rPr>
        <w:t xml:space="preserve">Comment: Reproducibility is partial.</w:t>
      </w:r>
    </w:p>
    <w:p>
      <w:r>
        <w:rPr>
          <w:rFonts w:ascii="Times New Roman" w:hAnsi="Times New Roman" w:cs="Times New Roman"/>
          <w:color w:val="C00000"/>
          <w:sz w:val="20"/>
          <w:szCs w:val="20"/>
        </w:rPr>
        <w:t xml:space="preserve">Response: We added reproducibility details that the standards define. Mixing followed IS 10262, slump followed IS 1199, and curing used water at 27 plus or minus 2 degrees Celsius per IS 516. We acknowledge that laboratory relative humidity, exact vibration duration, and quantified fibre-distribution control were not separately recorded, and we will log these in future work. We did not invent values. See Section 2 and Section 5.</w:t>
      </w:r>
    </w:p>
    <w:p>
      <w:r>
        <w:rPr>
          <w:rFonts w:ascii="Times New Roman" w:hAnsi="Times New Roman" w:cs="Times New Roman"/>
          <w:b/>
          <w:sz w:val="22"/>
          <w:szCs w:val="22"/>
        </w:rPr>
        <w:t xml:space="preserve">Reviewer 2, Comment 1</w:t>
      </w:r>
    </w:p>
    <w:p>
      <w:r>
        <w:rPr>
          <w:rFonts w:ascii="Times New Roman" w:hAnsi="Times New Roman" w:cs="Times New Roman"/>
          <w:sz w:val="20"/>
          <w:szCs w:val="20"/>
        </w:rPr>
        <w:t xml:space="preserve">Comment: Rigorous English edit across the entire paper.</w:t>
      </w:r>
    </w:p>
    <w:p>
      <w:r>
        <w:rPr>
          <w:rFonts w:ascii="Times New Roman" w:hAnsi="Times New Roman" w:cs="Times New Roman"/>
          <w:color w:val="C00000"/>
          <w:sz w:val="20"/>
          <w:szCs w:val="20"/>
        </w:rPr>
        <w:t xml:space="preserve">Response: We thank the reviewer. The whole paper was edited for readability and precision.</w:t>
      </w:r>
    </w:p>
    <w:p>
      <w:r>
        <w:rPr>
          <w:rFonts w:ascii="Times New Roman" w:hAnsi="Times New Roman" w:cs="Times New Roman"/>
          <w:b/>
          <w:sz w:val="22"/>
          <w:szCs w:val="22"/>
        </w:rPr>
        <w:t xml:space="preserve">Reviewer 2, Comment 2</w:t>
      </w:r>
    </w:p>
    <w:p>
      <w:r>
        <w:rPr>
          <w:rFonts w:ascii="Times New Roman" w:hAnsi="Times New Roman" w:cs="Times New Roman"/>
          <w:sz w:val="20"/>
          <w:szCs w:val="20"/>
        </w:rPr>
        <w:t xml:space="preserve">Comment: Write full form of each abbreviation at first occurrence in both the Abstract and the Introduction, then use the abbreviation only.</w:t>
      </w:r>
    </w:p>
    <w:p>
      <w:r>
        <w:rPr>
          <w:rFonts w:ascii="Times New Roman" w:hAnsi="Times New Roman" w:cs="Times New Roman"/>
          <w:color w:val="C00000"/>
          <w:sz w:val="20"/>
          <w:szCs w:val="20"/>
        </w:rPr>
        <w:t xml:space="preserve">Response: Done. Each abbreviation is expanded at first use in the Abstract and again at first use in the Introduction, then the abbreviation is used consistently afterward. Expansions are lowercase unless a proper noun.</w:t>
      </w:r>
    </w:p>
    <w:p>
      <w:r>
        <w:rPr>
          <w:rFonts w:ascii="Times New Roman" w:hAnsi="Times New Roman" w:cs="Times New Roman"/>
          <w:b/>
          <w:sz w:val="22"/>
          <w:szCs w:val="22"/>
        </w:rPr>
        <w:t xml:space="preserve">Reviewer 2, Comment 3</w:t>
      </w:r>
    </w:p>
    <w:p>
      <w:r>
        <w:rPr>
          <w:rFonts w:ascii="Times New Roman" w:hAnsi="Times New Roman" w:cs="Times New Roman"/>
          <w:sz w:val="20"/>
          <w:szCs w:val="20"/>
        </w:rPr>
        <w:t xml:space="preserve">Comment: Add all abbreviations in alphabetical order in an appendix.</w:t>
      </w:r>
    </w:p>
    <w:p>
      <w:r>
        <w:rPr>
          <w:rFonts w:ascii="Times New Roman" w:hAnsi="Times New Roman" w:cs="Times New Roman"/>
          <w:color w:val="C00000"/>
          <w:sz w:val="20"/>
          <w:szCs w:val="20"/>
        </w:rPr>
        <w:t xml:space="preserve">Response: Done. See Appendix A, which lists all abbreviations and full forms in alphabetical order.</w:t>
      </w:r>
    </w:p>
    <w:p>
      <w:r>
        <w:rPr>
          <w:rFonts w:ascii="Times New Roman" w:hAnsi="Times New Roman" w:cs="Times New Roman"/>
          <w:b/>
          <w:sz w:val="22"/>
          <w:szCs w:val="22"/>
        </w:rPr>
        <w:t xml:space="preserve">Reviewer 2, Comment 4</w:t>
      </w:r>
    </w:p>
    <w:p>
      <w:r>
        <w:rPr>
          <w:rFonts w:ascii="Times New Roman" w:hAnsi="Times New Roman" w:cs="Times New Roman"/>
          <w:sz w:val="20"/>
          <w:szCs w:val="20"/>
        </w:rPr>
        <w:t xml:space="preserve">Comment: Ensure terminology in the article and the appendix are identical and uniform.</w:t>
      </w:r>
    </w:p>
    <w:p>
      <w:r>
        <w:rPr>
          <w:rFonts w:ascii="Times New Roman" w:hAnsi="Times New Roman" w:cs="Times New Roman"/>
          <w:color w:val="C00000"/>
          <w:sz w:val="20"/>
          <w:szCs w:val="20"/>
        </w:rPr>
        <w:t xml:space="preserve">Response: Done. We use the same spellings everywhere, including fibre and fibre-reinforced concrete. The appendix matches the body exactly.</w:t>
      </w:r>
    </w:p>
    <w:p>
      <w:r>
        <w:rPr>
          <w:rFonts w:ascii="Times New Roman" w:hAnsi="Times New Roman" w:cs="Times New Roman"/>
          <w:b/>
          <w:sz w:val="22"/>
          <w:szCs w:val="22"/>
        </w:rPr>
        <w:t xml:space="preserve">Reviewer 2, Comment 5</w:t>
      </w:r>
    </w:p>
    <w:p>
      <w:r>
        <w:rPr>
          <w:rFonts w:ascii="Times New Roman" w:hAnsi="Times New Roman" w:cs="Times New Roman"/>
          <w:sz w:val="20"/>
          <w:szCs w:val="20"/>
        </w:rPr>
        <w:t xml:space="preserve">Comment: References must be cited in proper sequence throughout the paper.</w:t>
      </w:r>
    </w:p>
    <w:p>
      <w:r>
        <w:rPr>
          <w:rFonts w:ascii="Times New Roman" w:hAnsi="Times New Roman" w:cs="Times New Roman"/>
          <w:color w:val="C00000"/>
          <w:sz w:val="20"/>
          <w:szCs w:val="20"/>
        </w:rPr>
        <w:t xml:space="preserve">Response: Done. We renumbered all in-text citations in order of first appearance and reordered the reference list to match, following the IJATEE Vancouver sequential style.</w:t>
      </w:r>
    </w:p>
    <w:sectPr>
      <w:pgMar w:top="1440" w:right="1440" w:bottom="1440" w:left="1440" w:header="720" w:footer="720" w:gutter="0"/>
    </w:sectPr>
  </w:body>
</w:document>
</file>

<file path=word/_rels/document.xml.rels><?xml version="1.0" encoding="UTF-8" standalone="yes"?><Relationships xmlns="http://schemas.openxmlformats.org/package/2006/relationships"></Relationships>
</file>