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latter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the standard NRL classical value [8]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it is equivalent to 1.69×10⁻³² with </w:t>
      </w:r>
      <w:r>
        <w:rPr>
          <w:b w:val="0"/>
          <w:i w:val="0"/>
        </w:rPr>
        <w:t>T</w:t>
      </w:r>
      <w:r>
        <w:rPr>
          <w:b w:val="0"/>
          <w:i w:val="0"/>
          <w:vertAlign w:val="subscript"/>
        </w:rPr>
        <w:t>e</w:t>
      </w:r>
      <w:r>
        <w:rPr>
          <w:b w:val="0"/>
          <w:i w:val="0"/>
        </w:rPr>
        <w:t xml:space="preserve"> in eV, and to 5.34×10⁻³⁷ in SI units (</w:t>
      </w:r>
      <w:r>
        <w:rPr>
          <w:b w:val="0"/>
          <w:i w:val="0"/>
        </w:rPr>
        <w:t>n</w:t>
      </w:r>
      <w:r>
        <w:rPr>
          <w:b w:val="0"/>
          <w:i w:val="0"/>
          <w:vertAlign w:val="subscript"/>
        </w:rPr>
        <w:t>e</w:t>
      </w:r>
      <w:r>
        <w:rPr>
          <w:b w:val="0"/>
          <w:i w:val="0"/>
        </w:rPr>
        <w:t xml:space="preserve"> in m⁻³,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plane is a hyperbola p = p</w:t>
      </w:r>
      <w:r>
        <w:rPr>
          <w:b w:val="0"/>
          <w:i/>
        </w:rPr>
        <w:t xml:space="preserve">. We find </w:t>
      </w:r>
      <w:r>
        <w:rPr>
          <w:b w:val="0"/>
          <w:i/>
        </w:rPr>
        <w:t>p</w:t>
      </w:r>
      <w:r>
        <w:rPr>
          <w:b w:val="0"/>
          <w:i w:val="0"/>
        </w:rPr>
        <w:t>(Wang) = 0.013</w:t>
      </w:r>
      <w:r>
        <w:rPr>
          <w:b/>
          <w:i w:val="0"/>
        </w:rPr>
        <w:t xml:space="preserve"> and </w:t>
      </w:r>
      <w:r>
        <w:rPr>
          <w:b w:val="0"/>
          <w:i w:val="0"/>
        </w:rPr>
        <w:t>p</w:t>
      </w:r>
      <w:r>
        <w:rPr>
          <w:b w:val="0"/>
          <w:i/>
        </w:rPr>
        <w:t>(TB) = 0</w:t>
      </w:r>
      <w:r>
        <w:rPr>
          <w:b w:val="0"/>
          <w:i/>
        </w:rPr>
        <w:t xml:space="preserve"> (TB ignites across the box). Figure 2 shows the resulting 2-D sensitivity map; within the conservative band (channeling efficiency ≤ 0.5) the Wang result is sub-ignition over a finite region and razor-thin elsewhere. This is an </w:t>
      </w:r>
      <w:r>
        <w:rPr>
          <w:b w:val="0"/>
          <w:i w:val="0"/>
        </w:rPr>
        <w:t>identifiability*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Two independent accounting approaches bracket the conservative margin at </w:t>
      </w:r>
      <w:r>
        <w:rPr>
          <w:b/>
          <w:i w:val="0"/>
        </w:rPr>
        <w:t>−14% to −76%</w:t>
      </w:r>
      <w:r>
        <w:rPr>
          <w:b w:val="0"/>
          <w:i w:val="0"/>
        </w:rPr>
        <w:t>, both negative. Figure 3 shows the net-power distribution and the parameter projection of the rare positive samples.</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Data availability</w:t>
      </w:r>
    </w:p>
    <w:p>
      <w:r>
        <w:rPr>
          <w:b w:val="0"/>
          <w:i w:val="0"/>
        </w:rPr>
        <w:t xml:space="preserve">All numerical results are reproduced by the released code (branch </w:t>
      </w:r>
      <w:r>
        <w:rPr>
          <w:rFonts w:ascii="Consolas" w:hAnsi="Consolas"/>
          <w:sz w:val="20"/>
        </w:rPr>
        <w:t>faithful-cross-section</w:t>
      </w:r>
      <w:r>
        <w:rPr>
          <w:b w:val="0"/>
          <w:i w:val="0"/>
        </w:rPr>
        <w:t>) with a fixed environment (numpy 2.x, scipy 1.x, matplotlib 3.x).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principal results were reproduced by an independent from-scratch reimplementation, and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27011"/>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27011"/>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52320"/>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52320"/>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20208"/>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20208"/>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1832052"/>
            <wp:docPr id="4" name="Picture 4"/>
            <wp:cNvGraphicFramePr>
              <a:graphicFrameLocks noChangeAspect="1"/>
            </wp:cNvGraphicFramePr>
            <a:graphic>
              <a:graphicData uri="http://schemas.openxmlformats.org/drawingml/2006/picture">
                <pic:pic>
                  <pic:nvPicPr>
                    <pic:cNvPr id="0" name="montecarlo_projection.png"/>
                    <pic:cNvPicPr/>
                  </pic:nvPicPr>
                  <pic:blipFill>
                    <a:blip r:embed="rId12"/>
                    <a:stretch>
                      <a:fillRect/>
                    </a:stretch>
                  </pic:blipFill>
                  <pic:spPr>
                    <a:xfrm>
                      <a:off x="0" y="0"/>
                      <a:ext cx="5852160" cy="1832052"/>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Top: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4327"/>
            <wp:docPr id="5" name="Picture 5"/>
            <wp:cNvGraphicFramePr>
              <a:graphicFrameLocks noChangeAspect="1"/>
            </wp:cNvGraphicFramePr>
            <a:graphic>
              <a:graphicData uri="http://schemas.openxmlformats.org/drawingml/2006/picture">
                <pic:pic>
                  <pic:nvPicPr>
                    <pic:cNvPr id="0" name="pulsed_timeseries.png"/>
                    <pic:cNvPicPr/>
                  </pic:nvPicPr>
                  <pic:blipFill>
                    <a:blip r:embed="rId13"/>
                    <a:stretch>
                      <a:fillRect/>
                    </a:stretch>
                  </pic:blipFill>
                  <pic:spPr>
                    <a:xfrm>
                      <a:off x="0" y="0"/>
                      <a:ext cx="5852160" cy="411432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2078"/>
            <wp:docPr id="6" name="Picture 6"/>
            <wp:cNvGraphicFramePr>
              <a:graphicFrameLocks noChangeAspect="1"/>
            </wp:cNvGraphicFramePr>
            <a:graphic>
              <a:graphicData uri="http://schemas.openxmlformats.org/drawingml/2006/picture">
                <pic:pic>
                  <pic:nvPicPr>
                    <pic:cNvPr id="0" name="pulsed_Gmap.png"/>
                    <pic:cNvPicPr/>
                  </pic:nvPicPr>
                  <pic:blipFill>
                    <a:blip r:embed="rId14"/>
                    <a:stretch>
                      <a:fillRect/>
                    </a:stretch>
                  </pic:blipFill>
                  <pic:spPr>
                    <a:xfrm>
                      <a:off x="0" y="0"/>
                      <a:ext cx="5852160" cy="4332078"/>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46757"/>
            <wp:docPr id="7" name="Picture 7"/>
            <wp:cNvGraphicFramePr>
              <a:graphicFrameLocks noChangeAspect="1"/>
            </wp:cNvGraphicFramePr>
            <a:graphic>
              <a:graphicData uri="http://schemas.openxmlformats.org/drawingml/2006/picture">
                <pic:pic>
                  <pic:nvPicPr>
                    <pic:cNvPr id="0" name="radial_profiles.png"/>
                    <pic:cNvPicPr/>
                  </pic:nvPicPr>
                  <pic:blipFill>
                    <a:blip r:embed="rId15"/>
                    <a:stretch>
                      <a:fillRect/>
                    </a:stretch>
                  </pic:blipFill>
                  <pic:spPr>
                    <a:xfrm>
                      <a:off x="0" y="0"/>
                      <a:ext cx="5852160" cy="174675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9876"/>
            <wp:docPr id="8" name="Picture 8"/>
            <wp:cNvGraphicFramePr>
              <a:graphicFrameLocks noChangeAspect="1"/>
            </wp:cNvGraphicFramePr>
            <a:graphic>
              <a:graphicData uri="http://schemas.openxmlformats.org/drawingml/2006/picture">
                <pic:pic>
                  <pic:nvPicPr>
                    <pic:cNvPr id="0" name="radial_Pnet_maps.png"/>
                    <pic:cNvPicPr/>
                  </pic:nvPicPr>
                  <pic:blipFill>
                    <a:blip r:embed="rId16"/>
                    <a:stretch>
                      <a:fillRect/>
                    </a:stretch>
                  </pic:blipFill>
                  <pic:spPr>
                    <a:xfrm>
                      <a:off x="0" y="0"/>
                      <a:ext cx="5852160" cy="2619876"/>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