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Cross-section sensitivity and the fragility of net-power windows in proton–boron-11 fusion: a multi-regime kinetic study</w:t>
      </w:r>
    </w:p>
    <w:p>
      <w:pPr>
        <w:jc w:val="center"/>
      </w:pPr>
      <w:r>
        <w:rPr>
          <w:b/>
          <w:i w:val="0"/>
          <w:sz w:val="26"/>
        </w:rPr>
        <w:t>Mehmet Enes Süzek</w:t>
      </w:r>
    </w:p>
    <w:p>
      <w:pPr>
        <w:jc w:val="center"/>
      </w:pPr>
      <w:r>
        <w:rPr>
          <w:b w:val="0"/>
          <w:i w:val="0"/>
          <w:sz w:val="20"/>
        </w:rPr>
        <w:t>Department of Internal Medicine, Faculty of Medicine, Afyonkarahisar Health Sciences University, 03200 Afyonkarahisar, Türkiye</w:t>
      </w:r>
    </w:p>
    <w:p>
      <w:pPr>
        <w:jc w:val="center"/>
      </w:pPr>
      <w:r>
        <w:rPr>
          <w:b w:val="0"/>
          <w:i w:val="0"/>
          <w:sz w:val="20"/>
        </w:rPr>
        <w:t>ORCID: 0009-0006-7825-6809 · zzenfal97@gmail.com</w:t>
      </w:r>
    </w:p>
    <w:p>
      <w:pPr>
        <w:keepNext/>
        <w:spacing w:before="280" w:after="120"/>
      </w:pPr>
      <w:r>
        <w:rPr>
          <w:b/>
          <w:color w:val="1A1A1A"/>
          <w:sz w:val="28"/>
        </w:rPr>
        <w:t>Abstract</w:t>
      </w:r>
    </w:p>
    <w:p>
      <w:r>
        <w:rPr>
          <w:b w:val="0"/>
          <w:i w:val="0"/>
        </w:rPr>
        <w:t>Aneutronic proton–boron-11 (p-11B) fusion has been argued, on the basis of updated cross-sections and kinetic effects, to admit a marginal thermonuclear ignition window. We test the robustness of this conclusion with a self-consistent, zero-dimensional kinetic power-balance model employing a Maxwell-preserving Fokker–Planck discretization, and we extend the analysis across confinement regimes. Integrating three modern cross-section parameterizations through an identical reactivity integrator, we find the thermal reactivity at 300 keV spans ~20% (Tentori–Belloni 4.4×10⁻¹⁶, Wang 3.6×10⁻¹⁶, Nevins–Swain 3.5×10⁻¹⁶ cm³/s), and that this spread alone determines whether the thermal fusion-to-bremsstrahlung ratio sits above (~1.20) or at (~1.01) threshold under an identical self-consistent electron temperature (</w:t>
      </w:r>
      <w:r>
        <w:rPr>
          <w:b w:val="0"/>
          <w:i w:val="0"/>
        </w:rPr>
        <w:t>T</w:t>
      </w:r>
      <w:r>
        <w:rPr>
          <w:b w:val="0"/>
          <w:i w:val="0"/>
          <w:vertAlign w:val="subscript"/>
        </w:rPr>
        <w:t>e</w:t>
      </w:r>
      <w:r>
        <w:rPr>
          <w:b w:val="0"/>
          <w:i w:val="0"/>
        </w:rPr>
        <w:t>/</w:t>
      </w:r>
      <w:r>
        <w:rPr>
          <w:b w:val="0"/>
          <w:i w:val="0"/>
        </w:rPr>
        <w:t>T</w:t>
      </w:r>
      <w:r>
        <w:rPr>
          <w:b w:val="0"/>
          <w:i w:val="0"/>
          <w:vertAlign w:val="subscript"/>
        </w:rPr>
        <w:t>i</w:t>
      </w:r>
      <w:r>
        <w:rPr>
          <w:b w:val="0"/>
          <w:i w:val="0"/>
        </w:rPr>
        <w:t xml:space="preserve"> ~ 0.42). The surviving net gain in the kinetic peak rests entirely on the alpha-driven R-matrix enhancement; with the Coulomb (Putvinski) enhancement alone it is sub-ignition. We further show the two principal kinetic uncertainties—steady-state alpha density and the R-matrix factor—are mathematically degenerate, so ignition is governed by a single effective parameter. Extending to a four-term net-power budget, we scan 4×10⁶ parameter combinations and find no positive net-power island under conservative (Rider) accounting; a time-dependent treatment shows the transient </w:t>
      </w:r>
      <w:r>
        <w:rPr>
          <w:b w:val="0"/>
          <w:i w:val="0"/>
        </w:rPr>
        <w:t>T</w:t>
      </w:r>
      <w:r>
        <w:rPr>
          <w:b w:val="0"/>
          <w:i w:val="0"/>
          <w:vertAlign w:val="subscript"/>
        </w:rPr>
        <w:t>e</w:t>
      </w:r>
      <w:r>
        <w:rPr>
          <w:b w:val="0"/>
          <w:i w:val="0"/>
        </w:rPr>
        <w:t>&lt;</w:t>
      </w:r>
      <w:r>
        <w:rPr>
          <w:b w:val="0"/>
          <w:i w:val="0"/>
        </w:rPr>
        <w:t>T</w:t>
      </w:r>
      <w:r>
        <w:rPr>
          <w:b w:val="0"/>
          <w:i w:val="0"/>
          <w:vertAlign w:val="subscript"/>
        </w:rPr>
        <w:t>i</w:t>
      </w:r>
      <w:r>
        <w:rPr>
          <w:b w:val="0"/>
          <w:i w:val="0"/>
        </w:rPr>
        <w:t xml:space="preserve"> window yields cycle-integrated gain ≪ 1; and a 1-D treatment shows spatial separation is dominated by transport losses. Across equilibrium, combinatorial, transient, and spatial regimes, conservatively-modeled p-11B ignition remains marginal to sub-threshold. Reproducible cross-section benchmarking and uncertainty propagation are prerequisites for any p-11B ignition claim.</w:t>
      </w:r>
    </w:p>
    <w:p>
      <w:r>
        <w:rPr>
          <w:b/>
          <w:i w:val="0"/>
        </w:rPr>
        <w:t>Keywords:</w:t>
      </w:r>
      <w:r>
        <w:rPr>
          <w:b w:val="0"/>
          <w:i w:val="0"/>
        </w:rPr>
        <w:t xml:space="preserve"> proton–boron-11 fusion; aneutronic fusion; thermonuclear ignition; bremsstrahlung; fusion reactivity; kinetic power balance; alpha channeling.</w:t>
      </w:r>
    </w:p>
    <w:p>
      <w:pPr>
        <w:keepNext/>
        <w:spacing w:before="280" w:after="120"/>
      </w:pPr>
      <w:r>
        <w:rPr>
          <w:b/>
          <w:color w:val="1A1A1A"/>
          <w:sz w:val="28"/>
        </w:rPr>
        <w:t>I. Introduction</w:t>
      </w:r>
    </w:p>
    <w:p>
      <w:r>
        <w:rPr>
          <w:b w:val="0"/>
          <w:i w:val="0"/>
        </w:rPr>
        <w:t>The aneutronic proton–boron-11 reaction, p + ¹¹B → 3α + 8.68 MeV, is attractive for fusion energy because it releases its energy almost entirely in charged particles and produces no primary neutrons. Its drawback is equally well known: the reactivity peaks near 600 keV and the bremsstrahlung radiated by the high-Z, high-temperature electrons is comparable to the fusion power, so that thermal p-11B operates at best near the boundary of net energy production. Quantitative zero-dimensional power balances [1] have placed the peak fusion-to-bremsstrahlung ratio only a few percent above unity, with onerous confinement requirements.</w:t>
      </w:r>
    </w:p>
    <w:p>
      <w:r>
        <w:rPr>
          <w:b w:val="0"/>
          <w:i w:val="0"/>
        </w:rPr>
        <w:t>Two developments have renewed interest in a possible ignition window. First, re-evaluations of the fusion cross section [2, 3] revise the reactivity relative to the long-standing Nevins–Swain parametrization [4]. Second, kinetic effects—suprathermal proton tails sustained by slowing-down alpha particles, and nuclear (R-matrix) enhancement of large-angle alpha–proton elastic scattering [5]—have been proposed to raise the fusion power above its Maxwellian value. Because the underlying power balance is near unity, the conclusion (ignition window present or absent) is sensitive to each of these inputs and to their assumed magnitudes.</w:t>
      </w:r>
    </w:p>
    <w:p>
      <w:r>
        <w:rPr>
          <w:b w:val="0"/>
          <w:i w:val="0"/>
        </w:rPr>
        <w:t xml:space="preserve">This sensitivity makes p-11B a problem in which </w:t>
      </w:r>
      <w:r>
        <w:rPr>
          <w:b w:val="0"/>
          <w:i/>
        </w:rPr>
        <w:t>verification and uncertainty propagation are themselves the scientific content</w:t>
      </w:r>
      <w:r>
        <w:rPr>
          <w:b w:val="0"/>
          <w:i w:val="0"/>
        </w:rPr>
        <w:t xml:space="preserve">. Recent Physics of Plasmas studies have emphasized exactly this point for advanced-fuel power balances [11]. The present work asks a single, falsifiable question: </w:t>
      </w:r>
      <w:r>
        <w:rPr>
          <w:b/>
          <w:i w:val="0"/>
        </w:rPr>
        <w:t>across the confinement regimes available to a 0-D/1-D treatment, and under conservative accounting of every loss channel, does a positive net-power window for p-11B exist, and on which modeling assumptions does the answer depend?</w:t>
      </w:r>
    </w:p>
    <w:p>
      <w:r>
        <w:rPr>
          <w:b w:val="0"/>
          <w:i w:val="0"/>
        </w:rPr>
        <w:t>We answer this by (i) implementing three cross-section parameterizations behind one reactivity integrator (Sec. II.A–B), (ii) propagating the kinetic uncertainties through an explicit, self-consistent power balance (Sec. II.C–E, III.A–C), and (iii) extending the budget from the equilibrium baseline across combinatorial, time-dependent, and spatial regimes with the recirculating and transport costs retained (Sec. III.D). The result is a consistent, reproducible map of where p-11B ignition sits relative to threshold.</w:t>
      </w:r>
    </w:p>
    <w:p>
      <w:pPr>
        <w:keepNext/>
        <w:spacing w:before="280" w:after="120"/>
      </w:pPr>
      <w:r>
        <w:rPr>
          <w:b/>
          <w:color w:val="1A1A1A"/>
          <w:sz w:val="28"/>
        </w:rPr>
        <w:t>II. Methods</w:t>
      </w:r>
    </w:p>
    <w:p>
      <w:pPr>
        <w:keepNext/>
        <w:spacing w:before="200" w:after="80"/>
      </w:pPr>
      <w:r>
        <w:rPr>
          <w:b/>
          <w:color w:val="1A1A1A"/>
          <w:sz w:val="24"/>
        </w:rPr>
        <w:t>II.A Three cross sections, one integrator</w:t>
      </w:r>
    </w:p>
    <w:p>
      <w:r>
        <w:rPr>
          <w:b w:val="0"/>
          <w:i w:val="0"/>
        </w:rPr>
        <w:t>We evaluate the Maxwellian reactivity</w:t>
      </w:r>
    </w:p>
    <w:p>
      <w:r>
        <w:rPr>
          <w:b w:val="0"/>
          <w:i w:val="0"/>
        </w:rPr>
        <w:t>⟨σv⟩(T) = √(8/πμ) · (</w:t>
      </w:r>
      <w:r>
        <w:rPr>
          <w:b w:val="0"/>
          <w:i w:val="0"/>
        </w:rPr>
        <w:t>k</w:t>
      </w:r>
      <w:r>
        <w:rPr>
          <w:b w:val="0"/>
          <w:i w:val="0"/>
          <w:vertAlign w:val="subscript"/>
        </w:rPr>
        <w:t>BT</w:t>
      </w:r>
      <w:r>
        <w:rPr>
          <w:b w:val="0"/>
          <w:i w:val="0"/>
        </w:rPr>
        <w:t>)</w:t>
      </w:r>
      <w:r>
        <w:rPr>
          <w:b w:val="0"/>
          <w:i w:val="0"/>
          <w:vertAlign w:val="superscript"/>
        </w:rPr>
        <w:t>−3/2</w:t>
      </w:r>
      <w:r>
        <w:rPr>
          <w:b w:val="0"/>
          <w:i w:val="0"/>
        </w:rPr>
        <w:t xml:space="preserve"> · ∫₀</w:t>
      </w:r>
      <w:r>
        <w:rPr>
          <w:b w:val="0"/>
          <w:i w:val="0"/>
          <w:vertAlign w:val="superscript"/>
        </w:rPr>
        <w:t>∞</w:t>
      </w:r>
      <w:r>
        <w:rPr>
          <w:b w:val="0"/>
          <w:i w:val="0"/>
        </w:rPr>
        <w:t xml:space="preserve"> E σ(E) exp(−E/</w:t>
      </w:r>
      <w:r>
        <w:rPr>
          <w:b w:val="0"/>
          <w:i w:val="0"/>
        </w:rPr>
        <w:t>k</w:t>
      </w:r>
      <w:r>
        <w:rPr>
          <w:b w:val="0"/>
          <w:i w:val="0"/>
          <w:vertAlign w:val="subscript"/>
        </w:rPr>
        <w:t>BT</w:t>
      </w:r>
      <w:r>
        <w:rPr>
          <w:b w:val="0"/>
          <w:i w:val="0"/>
        </w:rPr>
        <w:t>) dE,</w:t>
      </w:r>
    </w:p>
    <w:p>
      <w:r>
        <w:rPr>
          <w:b w:val="0"/>
          <w:i w:val="0"/>
        </w:rPr>
        <w:t xml:space="preserve">with E the center-of-mass (relative) energy and μ the p-11B reduced mass (μc² = 859.5 MeV), for three astrophysical-S-factor parameterizations evaluated through the </w:t>
      </w:r>
      <w:r>
        <w:rPr>
          <w:b/>
          <w:i w:val="0"/>
        </w:rPr>
        <w:t>same</w:t>
      </w:r>
      <w:r>
        <w:rPr>
          <w:b w:val="0"/>
          <w:i w:val="0"/>
        </w:rPr>
        <w:t xml:space="preserve"> integrator and the same Gamow form σ(E) = [S(E)/E] exp(−√(</w:t>
      </w:r>
      <w:r>
        <w:rPr>
          <w:b w:val="0"/>
          <w:i w:val="0"/>
        </w:rPr>
        <w:t>E</w:t>
      </w:r>
      <w:r>
        <w:rPr>
          <w:b w:val="0"/>
          <w:i w:val="0"/>
          <w:vertAlign w:val="subscript"/>
        </w:rPr>
        <w:t>G</w:t>
      </w:r>
      <w:r>
        <w:rPr>
          <w:b w:val="0"/>
          <w:i w:val="0"/>
        </w:rPr>
        <w:t xml:space="preserve">/E)), </w:t>
      </w:r>
      <w:r>
        <w:rPr>
          <w:b w:val="0"/>
          <w:i w:val="0"/>
        </w:rPr>
        <w:t>E</w:t>
      </w:r>
      <w:r>
        <w:rPr>
          <w:b w:val="0"/>
          <w:i w:val="0"/>
          <w:vertAlign w:val="subscript"/>
        </w:rPr>
        <w:t>G</w:t>
      </w:r>
      <w:r>
        <w:rPr>
          <w:b w:val="0"/>
          <w:i w:val="0"/>
        </w:rPr>
        <w:t xml:space="preserve"> = 22.589 MeV:</w:t>
      </w:r>
    </w:p>
    <w:p>
      <w:pPr>
        <w:pStyle w:val="ListBullet"/>
      </w:pPr>
      <w:r>
        <w:rPr>
          <w:b/>
          <w:i w:val="0"/>
        </w:rPr>
        <w:t>Tentori–Belloni 2023 (TB)</w:t>
      </w:r>
      <w:r>
        <w:rPr>
          <w:b w:val="0"/>
          <w:i w:val="0"/>
        </w:rPr>
        <w:t xml:space="preserve"> [2] — Table 1 "this work" column, three energy segments with bare-amplitude Breit–Wigner resonances;</w:t>
      </w:r>
    </w:p>
    <w:p>
      <w:pPr>
        <w:pStyle w:val="ListBullet"/>
      </w:pPr>
      <w:r>
        <w:rPr>
          <w:b/>
          <w:i w:val="0"/>
        </w:rPr>
        <w:t>Wang et al. 2026 (Wang)</w:t>
      </w:r>
      <w:r>
        <w:rPr>
          <w:b w:val="0"/>
          <w:i w:val="0"/>
        </w:rPr>
        <w:t xml:space="preserve"> [3] — Table 1, five resonances, the 148 keV narrow resonance retained;</w:t>
      </w:r>
    </w:p>
    <w:p>
      <w:pPr>
        <w:pStyle w:val="ListBullet"/>
      </w:pPr>
      <w:r>
        <w:rPr>
          <w:b/>
          <w:i w:val="0"/>
        </w:rPr>
        <w:t>Nevins–Swain 2000 (NS)</w:t>
      </w:r>
      <w:r>
        <w:rPr>
          <w:b w:val="0"/>
          <w:i w:val="0"/>
        </w:rPr>
        <w:t xml:space="preserve"> [4] — the "Nevins and Swain" reference column of TB Table 1, evaluated identically.</w:t>
      </w:r>
    </w:p>
    <w:p>
      <w:r>
        <w:rPr>
          <w:b w:val="0"/>
          <w:i w:val="0"/>
        </w:rPr>
        <w:t>All energies are kept in the center-of-mass frame throughout the reactivity integral; the laboratory↔CM conversion (</w:t>
      </w:r>
      <w:r>
        <w:rPr>
          <w:b w:val="0"/>
          <w:i w:val="0"/>
        </w:rPr>
        <w:t>E</w:t>
      </w:r>
      <w:r>
        <w:rPr>
          <w:b w:val="0"/>
          <w:i w:val="0"/>
          <w:vertAlign w:val="subscript"/>
        </w:rPr>
        <w:t>lab</w:t>
      </w:r>
      <w:r>
        <w:rPr>
          <w:b w:val="0"/>
          <w:i w:val="0"/>
        </w:rPr>
        <w:t xml:space="preserve"> = </w:t>
      </w:r>
      <w:r>
        <w:rPr>
          <w:b w:val="0"/>
          <w:i w:val="0"/>
        </w:rPr>
        <w:t>E</w:t>
      </w:r>
      <w:r>
        <w:rPr>
          <w:b w:val="0"/>
          <w:i w:val="0"/>
          <w:vertAlign w:val="subscript"/>
        </w:rPr>
        <w:t>cm</w:t>
      </w:r>
      <w:r>
        <w:rPr>
          <w:b w:val="0"/>
          <w:i w:val="0"/>
        </w:rPr>
        <w:t>·12/11 for a proton on a boron nucleus) enters only in the kinetic (lab-frame distribution) calculation of Sec. II.D. Integration limits and the resonance line-shape convention are stated in the released source.</w:t>
      </w:r>
    </w:p>
    <w:p>
      <w:pPr>
        <w:spacing w:before="80" w:after="120"/>
        <w:ind w:left="432" w:right="288"/>
        <w:shd w:val="clear" w:color="auto" w:fill="F2F2F2"/>
      </w:pPr>
      <w:r>
        <w:rPr>
          <w:b/>
          <w:i w:val="0"/>
          <w:sz w:val="20"/>
        </w:rPr>
        <w:t>Footnote (NS reactivity).</w:t>
      </w:r>
      <w:r>
        <w:rPr>
          <w:b w:val="0"/>
          <w:i w:val="0"/>
          <w:sz w:val="20"/>
        </w:rPr>
        <w:t xml:space="preserve"> Our NS reactivity values are obtained by direct S-factor integration through the common integrator. The widely-cited NS-2000 </w:t>
      </w:r>
      <w:r>
        <w:rPr>
          <w:b w:val="0"/>
          <w:i/>
          <w:sz w:val="20"/>
        </w:rPr>
        <w:t>analytic</w:t>
      </w:r>
      <w:r>
        <w:rPr>
          <w:b w:val="0"/>
          <w:i w:val="0"/>
          <w:sz w:val="20"/>
        </w:rPr>
        <w:t xml:space="preserve"> reactivity fit (Bosch–Hale/Peres form) is stated valid only to ~500 keV and plateaus beyond [4]; evaluating it gives ⟨σv⟩ = 3.385×10⁻¹⁶ cm³/s at 300 keV, so that our NS S-factor integral lies </w:t>
      </w:r>
      <w:r>
        <w:rPr>
          <w:b/>
          <w:i w:val="0"/>
          <w:sz w:val="20"/>
        </w:rPr>
        <w:t>+3.9% (300 keV), +9.2% (500 keV), and +11.4% (600 keV)</w:t>
      </w:r>
      <w:r>
        <w:rPr>
          <w:b w:val="0"/>
          <w:i w:val="0"/>
          <w:sz w:val="20"/>
        </w:rPr>
        <w:t xml:space="preserve"> above the analytic fit, the offset growing as the fit reaches its stated validity edge. Computing all three parameterizations through one faithful integrator—rather than mixing an analytic fit with numerical integrals—is a deliberate choice for internal consistency, not an error; the cross-section coefficients were verified three independent ways against the published TB Table 1, and the analytic-fit offset is reproduced by the released code.</w:t>
      </w:r>
    </w:p>
    <w:p>
      <w:pPr>
        <w:keepNext/>
        <w:spacing w:before="200" w:after="80"/>
      </w:pPr>
      <w:r>
        <w:rPr>
          <w:b/>
          <w:color w:val="1A1A1A"/>
          <w:sz w:val="24"/>
        </w:rPr>
        <w:t>II.B Reactivity benchmark</w:t>
      </w:r>
    </w:p>
    <w:p>
      <w:r>
        <w:rPr>
          <w:b w:val="0"/>
          <w:i w:val="0"/>
        </w:rPr>
        <w:t xml:space="preserve">Table 1 reports ⟨σv⟩(T) for the three parameterizations from 100 to 600 keV. At 300 keV, </w:t>
      </w:r>
      <w:r>
        <w:rPr>
          <w:b/>
          <w:i w:val="0"/>
        </w:rPr>
        <w:t>TB = 4.37×10⁻¹⁶, Wang = 3.63×10⁻¹⁶, NS = 3.52×10⁻¹⁶ cm³/s</w:t>
      </w:r>
      <w:r>
        <w:rPr>
          <w:b w:val="0"/>
          <w:i w:val="0"/>
        </w:rPr>
        <w:t>. The TB/Wang ratio is nearly flat at ~1.20; the TB/NS ratio rises from 1.24 (300 keV) to 1.45 (600 keV). The TB curve agrees with the original Tentori–Belloni tabulation to within 0.4%, and the low-temperature NS values are consistent with independent recent evaluations [12], and the parameterized cross sections reproduce the measured ¹¹B(p,α) S-factor [10]. Figure 1 shows σ(E) and ⟨σv⟩(T) for all three. The ~20% spread in the reactivity is the single largest modeling uncertainty entering the power balance and is propagated explicitly below.</w:t>
      </w:r>
    </w:p>
    <w:p>
      <w:pPr>
        <w:keepNext/>
        <w:spacing w:before="200" w:after="80"/>
      </w:pPr>
      <w:r>
        <w:rPr>
          <w:b/>
          <w:color w:val="1A1A1A"/>
          <w:sz w:val="24"/>
        </w:rPr>
        <w:t>II.C Maxwell-preserving Fokker–Planck operator</w:t>
      </w:r>
    </w:p>
    <w:p>
      <w:r>
        <w:rPr>
          <w:b w:val="0"/>
          <w:i w:val="0"/>
        </w:rPr>
        <w:t xml:space="preserve">The proton distribution is evolved with an isotropic, one-dimensional (speed) Fokker–Planck operator using the Trubnikov diffusion and friction coefficients for proton–proton, proton–boron, and proton–electron collisions, plus a non-Maxwellian alpha contribution (Sec. II.D). The diffusion/friction functionals are evaluated </w:t>
      </w:r>
      <w:r>
        <w:rPr>
          <w:b/>
          <w:i w:val="0"/>
        </w:rPr>
        <w:t>directly at the cell half-points</w:t>
      </w:r>
      <w:r>
        <w:rPr>
          <w:b w:val="0"/>
          <w:i w:val="0"/>
        </w:rPr>
        <w:t xml:space="preserve"> rather than by linear averaging; this preserves the Maxwell–Boltzmann steady state to a relative residual ~10⁻¹¹ (versus ~10⁻² for the linear-average scheme), verified by the detailed-balance test L[</w:t>
      </w:r>
      <w:r>
        <w:rPr>
          <w:b w:val="0"/>
          <w:i w:val="0"/>
        </w:rPr>
        <w:t>f</w:t>
      </w:r>
      <w:r>
        <w:rPr>
          <w:b w:val="0"/>
          <w:i w:val="0"/>
          <w:vertAlign w:val="subscript"/>
        </w:rPr>
        <w:t>M</w:t>
      </w:r>
      <w:r>
        <w:rPr>
          <w:b w:val="0"/>
          <w:i w:val="0"/>
        </w:rPr>
        <w:t>] ≈ 0.</w:t>
      </w:r>
    </w:p>
    <w:p>
      <w:r>
        <w:rPr>
          <w:b w:val="0"/>
          <w:i w:val="0"/>
        </w:rPr>
        <w:t xml:space="preserve">We stress the scope of this figure of merit: exact preservation of a Maxwellian is a </w:t>
      </w:r>
      <w:r>
        <w:rPr>
          <w:b w:val="0"/>
          <w:i/>
        </w:rPr>
        <w:t>necessary</w:t>
      </w:r>
      <w:r>
        <w:rPr>
          <w:b w:val="0"/>
          <w:i w:val="0"/>
        </w:rPr>
        <w:t xml:space="preserve"> property of a kinetic solver but does not by itself validate the non-Maxwellian tail that carries the kinetic enhancement. The tail accuracy is assessed separately through the enhancement decomposition of Sec. III.B. The full velocity-space discretization—grid, half-point coefficient evaluation, and boundary conditions—is documented with the released source (Sec. Data availability).</w:t>
      </w:r>
    </w:p>
    <w:p>
      <w:pPr>
        <w:keepNext/>
        <w:spacing w:before="200" w:after="80"/>
      </w:pPr>
      <w:r>
        <w:rPr>
          <w:b/>
          <w:color w:val="1A1A1A"/>
          <w:sz w:val="24"/>
        </w:rPr>
        <w:t>II.D R-matrix kinetic enhancement as a sensitivity input</w:t>
      </w:r>
    </w:p>
    <w:p>
      <w:r>
        <w:rPr>
          <w:b w:val="0"/>
          <w:i w:val="0"/>
        </w:rPr>
        <w:t>The alpha-driven enhancement of the proton tail is computed from the slowing-down alpha distribution coupling to protons via Trubnikov (Coulomb) diffusion and, optionally, the Belloni 2021 nuclear enhancement [5] of large-angle α–p elastic scattering. The latter is obtained from a three-level (S-, P-, D-wave) ⁵Li R-matrix phase-shift evaluation, returning the energy-dependent factor F(</w:t>
      </w:r>
      <w:r>
        <w:rPr>
          <w:b w:val="0"/>
          <w:i w:val="0"/>
        </w:rPr>
        <w:t>v</w:t>
      </w:r>
      <w:r>
        <w:rPr>
          <w:b w:val="0"/>
          <w:i w:val="0"/>
          <w:vertAlign w:val="subscript"/>
        </w:rPr>
        <w:t>p</w:t>
      </w:r>
      <w:r>
        <w:rPr>
          <w:b w:val="0"/>
          <w:i w:val="0"/>
        </w:rPr>
        <w:t>) = ⟨dσ/d</w:t>
      </w:r>
      <w:r>
        <w:rPr>
          <w:b w:val="0"/>
          <w:i w:val="0"/>
        </w:rPr>
        <w:t>E</w:t>
      </w:r>
      <w:r>
        <w:rPr>
          <w:b w:val="0"/>
          <w:i w:val="0"/>
          <w:vertAlign w:val="subscript"/>
        </w:rPr>
        <w:t>p</w:t>
      </w:r>
      <w:r>
        <w:rPr>
          <w:b w:val="0"/>
          <w:i w:val="0"/>
        </w:rPr>
        <w:t>⟩</w:t>
      </w:r>
      <w:r>
        <w:rPr>
          <w:b w:val="0"/>
          <w:i w:val="0"/>
          <w:vertAlign w:val="subscript"/>
        </w:rPr>
        <w:t>total</w:t>
      </w:r>
      <w:r>
        <w:rPr>
          <w:b w:val="0"/>
          <w:i w:val="0"/>
        </w:rPr>
        <w:t xml:space="preserve"> / ⟨dσ/d</w:t>
      </w:r>
      <w:r>
        <w:rPr>
          <w:b w:val="0"/>
          <w:i w:val="0"/>
        </w:rPr>
        <w:t>E</w:t>
      </w:r>
      <w:r>
        <w:rPr>
          <w:b w:val="0"/>
          <w:i w:val="0"/>
          <w:vertAlign w:val="subscript"/>
        </w:rPr>
        <w:t>p</w:t>
      </w:r>
      <w:r>
        <w:rPr>
          <w:b w:val="0"/>
          <w:i w:val="0"/>
        </w:rPr>
        <w:t>⟩</w:t>
      </w:r>
      <w:r>
        <w:rPr>
          <w:b w:val="0"/>
          <w:i w:val="0"/>
          <w:vertAlign w:val="subscript"/>
        </w:rPr>
        <w:t>Rutherford</w:t>
      </w:r>
      <w:r>
        <w:rPr>
          <w:b w:val="0"/>
          <w:i w:val="0"/>
        </w:rPr>
        <w:t xml:space="preserve">. Because the R-matrix scattering cross section agrees with reference evaluations only to within a factor of order two, </w:t>
      </w:r>
      <w:r>
        <w:rPr>
          <w:b/>
          <w:i w:val="0"/>
        </w:rPr>
        <w:t>F enters the analysis as a scanned sensitivity parameter, not a fixed number</w:t>
      </w:r>
      <w:r>
        <w:rPr>
          <w:b w:val="0"/>
          <w:i w:val="0"/>
        </w:rPr>
        <w:t xml:space="preserve">: the nominal R-matrix factor (the unscaled Belloni evaluation) is multiplied by a dimensionless scale </w:t>
      </w:r>
      <w:r>
        <w:rPr>
          <w:b w:val="0"/>
          <w:i w:val="0"/>
        </w:rPr>
        <w:t>F</w:t>
      </w:r>
      <w:r>
        <w:rPr>
          <w:b w:val="0"/>
          <w:i w:val="0"/>
          <w:vertAlign w:val="subscript"/>
        </w:rPr>
        <w:t>scale</w:t>
      </w:r>
      <w:r>
        <w:rPr>
          <w:b w:val="0"/>
          <w:i w:val="0"/>
        </w:rPr>
        <w:t xml:space="preserve"> ∈ [0.5, 2] spanning the factor-two scattering uncertainty against SigmaCalc 2.0, with the nominal operating point at (</w:t>
      </w:r>
      <w:r>
        <w:rPr>
          <w:b w:val="0"/>
          <w:i w:val="0"/>
        </w:rPr>
        <w:t>n</w:t>
      </w:r>
      <w:r>
        <w:rPr>
          <w:b w:val="0"/>
          <w:i w:val="0"/>
          <w:vertAlign w:val="subscript"/>
        </w:rPr>
        <w:t>α</w:t>
      </w:r>
      <w:r>
        <w:rPr>
          <w:b w:val="0"/>
          <w:i w:val="0"/>
        </w:rPr>
        <w:t>/</w:t>
      </w:r>
      <w:r>
        <w:rPr>
          <w:b w:val="0"/>
          <w:i w:val="0"/>
        </w:rPr>
        <w:t>n</w:t>
      </w:r>
      <w:r>
        <w:rPr>
          <w:b w:val="0"/>
          <w:i w:val="0"/>
          <w:vertAlign w:val="subscript"/>
        </w:rPr>
        <w:t>e</w:t>
      </w:r>
      <w:r>
        <w:rPr>
          <w:b w:val="0"/>
          <w:i w:val="0"/>
        </w:rPr>
        <w:t xml:space="preserve">, </w:t>
      </w:r>
      <w:r>
        <w:rPr>
          <w:b w:val="0"/>
          <w:i w:val="0"/>
        </w:rPr>
        <w:t>F</w:t>
      </w:r>
      <w:r>
        <w:rPr>
          <w:b w:val="0"/>
          <w:i w:val="0"/>
          <w:vertAlign w:val="subscript"/>
        </w:rPr>
        <w:t>scale</w:t>
      </w:r>
      <w:r>
        <w:rPr>
          <w:b w:val="0"/>
          <w:i w:val="0"/>
        </w:rPr>
        <w:t>) = (0.05, 1.0) and the conservative point at (0.01, 0.5) (Sec. III.B–C).</w:t>
      </w:r>
    </w:p>
    <w:p>
      <w:pPr>
        <w:keepNext/>
        <w:spacing w:before="200" w:after="80"/>
      </w:pPr>
      <w:r>
        <w:rPr>
          <w:b/>
          <w:color w:val="1A1A1A"/>
          <w:sz w:val="24"/>
        </w:rPr>
        <w:t>II.E Power balance</w:t>
      </w:r>
    </w:p>
    <w:p>
      <w:r>
        <w:rPr>
          <w:b w:val="0"/>
          <w:i w:val="0"/>
        </w:rPr>
        <w:t>Local power densities (W/cm³) are computed explicitly:</w:t>
      </w:r>
    </w:p>
    <w:p>
      <w:pPr>
        <w:pStyle w:val="ListBullet"/>
      </w:pPr>
      <w:r>
        <w:rPr>
          <w:b/>
          <w:i w:val="0"/>
        </w:rPr>
        <w:t>Fusion:</w:t>
      </w:r>
      <w:r>
        <w:rPr>
          <w:b w:val="0"/>
          <w:i w:val="0"/>
        </w:rPr>
        <w:t xml:space="preserve"> </w:t>
      </w:r>
      <w:r>
        <w:rPr>
          <w:b w:val="0"/>
          <w:i w:val="0"/>
        </w:rPr>
        <w:t>P</w:t>
      </w:r>
      <w:r>
        <w:rPr>
          <w:b w:val="0"/>
          <w:i w:val="0"/>
          <w:vertAlign w:val="subscript"/>
        </w:rPr>
        <w:t>F</w:t>
      </w:r>
      <w:r>
        <w:rPr>
          <w:b w:val="0"/>
          <w:i w:val="0"/>
        </w:rPr>
        <w:t xml:space="preserve"> = </w:t>
      </w:r>
      <w:r>
        <w:rPr>
          <w:b w:val="0"/>
          <w:i w:val="0"/>
        </w:rPr>
        <w:t>n</w:t>
      </w:r>
      <w:r>
        <w:rPr>
          <w:b w:val="0"/>
          <w:i w:val="0"/>
          <w:vertAlign w:val="subscript"/>
        </w:rPr>
        <w:t>p</w:t>
      </w:r>
      <w:r>
        <w:rPr>
          <w:b w:val="0"/>
          <w:i w:val="0"/>
        </w:rPr>
        <w:t xml:space="preserve"> </w:t>
      </w:r>
      <w:r>
        <w:rPr>
          <w:b w:val="0"/>
          <w:i w:val="0"/>
        </w:rPr>
        <w:t>n</w:t>
      </w:r>
      <w:r>
        <w:rPr>
          <w:b w:val="0"/>
          <w:i w:val="0"/>
          <w:vertAlign w:val="subscript"/>
        </w:rPr>
        <w:t>B</w:t>
      </w:r>
      <w:r>
        <w:rPr>
          <w:b w:val="0"/>
          <w:i w:val="0"/>
        </w:rPr>
        <w:t xml:space="preserve"> ⟨σv⟩(</w:t>
      </w:r>
      <w:r>
        <w:rPr>
          <w:b w:val="0"/>
          <w:i w:val="0"/>
        </w:rPr>
        <w:t>T</w:t>
      </w:r>
      <w:r>
        <w:rPr>
          <w:b w:val="0"/>
          <w:i w:val="0"/>
          <w:vertAlign w:val="subscript"/>
        </w:rPr>
        <w:t>i</w:t>
      </w:r>
      <w:r>
        <w:rPr>
          <w:b w:val="0"/>
          <w:i w:val="0"/>
        </w:rPr>
        <w:t>) Q, Q = 8.68 MeV (all charged).</w:t>
      </w:r>
    </w:p>
    <w:p>
      <w:pPr>
        <w:pStyle w:val="ListBullet"/>
      </w:pPr>
      <w:r>
        <w:rPr>
          <w:b/>
          <w:i w:val="0"/>
        </w:rPr>
        <w:t>Bremsstrahlung:</w:t>
      </w:r>
      <w:r>
        <w:rPr>
          <w:b w:val="0"/>
          <w:i w:val="0"/>
        </w:rPr>
        <w:t xml:space="preserve"> the NRL classical form with the Svensson relativistic correction, </w:t>
      </w:r>
      <w:r>
        <w:rPr>
          <w:b w:val="0"/>
          <w:i w:val="0"/>
        </w:rPr>
        <w:t>P</w:t>
      </w:r>
      <w:r>
        <w:rPr>
          <w:b w:val="0"/>
          <w:i w:val="0"/>
          <w:vertAlign w:val="subscript"/>
        </w:rPr>
        <w:t>B</w:t>
      </w:r>
      <w:r>
        <w:rPr>
          <w:b w:val="0"/>
          <w:i w:val="0"/>
        </w:rPr>
        <w:t xml:space="preserve"> = 5.34×10⁻³¹ · </w:t>
      </w:r>
      <w:r>
        <w:rPr>
          <w:b w:val="0"/>
          <w:i w:val="0"/>
        </w:rPr>
        <w:t>n</w:t>
      </w:r>
      <w:r>
        <w:rPr>
          <w:b w:val="0"/>
          <w:i w:val="0"/>
          <w:vertAlign w:val="subscript"/>
        </w:rPr>
        <w:t>e</w:t>
      </w:r>
      <w:r>
        <w:rPr>
          <w:b w:val="0"/>
          <w:i w:val="0"/>
        </w:rPr>
        <w:t xml:space="preserve">² · </w:t>
      </w:r>
      <w:r>
        <w:rPr>
          <w:b w:val="0"/>
          <w:i w:val="0"/>
        </w:rPr>
        <w:t>Z</w:t>
      </w:r>
      <w:r>
        <w:rPr>
          <w:b w:val="0"/>
          <w:i w:val="0"/>
          <w:vertAlign w:val="subscript"/>
        </w:rPr>
        <w:t>eff</w:t>
      </w:r>
      <w:r>
        <w:rPr>
          <w:b w:val="0"/>
          <w:i w:val="0"/>
        </w:rPr>
        <w:t xml:space="preserve"> · √(</w:t>
      </w:r>
      <w:r>
        <w:rPr>
          <w:b w:val="0"/>
          <w:i w:val="0"/>
        </w:rPr>
        <w:t>T</w:t>
      </w:r>
      <w:r>
        <w:rPr>
          <w:b w:val="0"/>
          <w:i w:val="0"/>
          <w:vertAlign w:val="subscript"/>
        </w:rPr>
        <w:t>e</w:t>
      </w:r>
      <w:r>
        <w:rPr>
          <w:b w:val="0"/>
          <w:i w:val="0"/>
        </w:rPr>
        <w:t xml:space="preserve">) · g(x), x = </w:t>
      </w:r>
      <w:r>
        <w:rPr>
          <w:b w:val="0"/>
          <w:i w:val="0"/>
        </w:rPr>
        <w:t>T</w:t>
      </w:r>
      <w:r>
        <w:rPr>
          <w:b w:val="0"/>
          <w:i w:val="0"/>
          <w:vertAlign w:val="subscript"/>
        </w:rPr>
        <w:t>e</w:t>
      </w:r>
      <w:r>
        <w:rPr>
          <w:b w:val="0"/>
          <w:i w:val="0"/>
        </w:rPr>
        <w:t>/</w:t>
      </w:r>
      <w:r>
        <w:rPr>
          <w:b w:val="0"/>
          <w:i w:val="0"/>
        </w:rPr>
        <w:t>m</w:t>
      </w:r>
      <w:r>
        <w:rPr>
          <w:b w:val="0"/>
          <w:i w:val="0"/>
          <w:vertAlign w:val="subscript"/>
        </w:rPr>
        <w:t>ec</w:t>
      </w:r>
      <w:r>
        <w:rPr>
          <w:b w:val="0"/>
          <w:i w:val="0"/>
        </w:rPr>
        <w:t xml:space="preserve">². The coefficient is the standard NRL classical value [8] evaluated in </w:t>
      </w:r>
      <w:r>
        <w:rPr>
          <w:b/>
          <w:i w:val="0"/>
        </w:rPr>
        <w:t>mixed practical units</w:t>
      </w:r>
      <w:r>
        <w:rPr>
          <w:b w:val="0"/>
          <w:i w:val="0"/>
        </w:rPr>
        <w:t xml:space="preserve"> (</w:t>
      </w:r>
      <w:r>
        <w:rPr>
          <w:b w:val="0"/>
          <w:i w:val="0"/>
        </w:rPr>
        <w:t>n</w:t>
      </w:r>
      <w:r>
        <w:rPr>
          <w:b w:val="0"/>
          <w:i w:val="0"/>
          <w:vertAlign w:val="subscript"/>
        </w:rPr>
        <w:t>e</w:t>
      </w:r>
      <w:r>
        <w:rPr>
          <w:b w:val="0"/>
          <w:i w:val="0"/>
        </w:rPr>
        <w:t xml:space="preserve"> in cm⁻³, </w:t>
      </w:r>
      <w:r>
        <w:rPr>
          <w:b w:val="0"/>
          <w:i w:val="0"/>
        </w:rPr>
        <w:t>T</w:t>
      </w:r>
      <w:r>
        <w:rPr>
          <w:b w:val="0"/>
          <w:i w:val="0"/>
          <w:vertAlign w:val="subscript"/>
        </w:rPr>
        <w:t>e</w:t>
      </w:r>
      <w:r>
        <w:rPr>
          <w:b w:val="0"/>
          <w:i w:val="0"/>
        </w:rPr>
        <w:t xml:space="preserve"> in keV, </w:t>
      </w:r>
      <w:r>
        <w:rPr>
          <w:b w:val="0"/>
          <w:i w:val="0"/>
        </w:rPr>
        <w:t>P</w:t>
      </w:r>
      <w:r>
        <w:rPr>
          <w:b w:val="0"/>
          <w:i w:val="0"/>
          <w:vertAlign w:val="subscript"/>
        </w:rPr>
        <w:t>B</w:t>
      </w:r>
      <w:r>
        <w:rPr>
          <w:b w:val="0"/>
          <w:i w:val="0"/>
        </w:rPr>
        <w:t xml:space="preserve"> in W/cm³); it is equivalent to 1.69×10⁻³² with </w:t>
      </w:r>
      <w:r>
        <w:rPr>
          <w:b w:val="0"/>
          <w:i w:val="0"/>
        </w:rPr>
        <w:t>T</w:t>
      </w:r>
      <w:r>
        <w:rPr>
          <w:b w:val="0"/>
          <w:i w:val="0"/>
          <w:vertAlign w:val="subscript"/>
        </w:rPr>
        <w:t>e</w:t>
      </w:r>
      <w:r>
        <w:rPr>
          <w:b w:val="0"/>
          <w:i w:val="0"/>
        </w:rPr>
        <w:t xml:space="preserve"> in eV, and to 5.34×10⁻³⁷ in SI units (</w:t>
      </w:r>
      <w:r>
        <w:rPr>
          <w:b w:val="0"/>
          <w:i w:val="0"/>
        </w:rPr>
        <w:t>n</w:t>
      </w:r>
      <w:r>
        <w:rPr>
          <w:b w:val="0"/>
          <w:i w:val="0"/>
          <w:vertAlign w:val="subscript"/>
        </w:rPr>
        <w:t>e</w:t>
      </w:r>
      <w:r>
        <w:rPr>
          <w:b w:val="0"/>
          <w:i w:val="0"/>
        </w:rPr>
        <w:t xml:space="preserve"> in m⁻³, </w:t>
      </w:r>
      <w:r>
        <w:rPr>
          <w:b w:val="0"/>
          <w:i w:val="0"/>
        </w:rPr>
        <w:t>P</w:t>
      </w:r>
      <w:r>
        <w:rPr>
          <w:b w:val="0"/>
          <w:i w:val="0"/>
          <w:vertAlign w:val="subscript"/>
        </w:rPr>
        <w:t>B</w:t>
      </w:r>
      <w:r>
        <w:rPr>
          <w:b w:val="0"/>
          <w:i w:val="0"/>
        </w:rPr>
        <w:t xml:space="preserve"> in W/m³). The correction g(x) contains the e–i and e–e relativistic terms (Svensson form) and was cross-checked against the recent independent analytical bremsstrahlung fit of Xie [9], which spans the e–i and e–e contributions to &lt;1% over the relevant temperature range. (We adopt the NRL classical coefficient; the Wang 2026 power balance uses a value ~3% lower, a Gaunt/Born convention difference — at the near-threshold thermal margin a further small modeling sensitivity, Sec. III.D.) </w:t>
      </w:r>
      <w:r>
        <w:rPr>
          <w:b w:val="0"/>
          <w:i w:val="0"/>
        </w:rPr>
        <w:t>Z</w:t>
      </w:r>
      <w:r>
        <w:rPr>
          <w:b w:val="0"/>
          <w:i w:val="0"/>
          <w:vertAlign w:val="subscript"/>
        </w:rPr>
        <w:t>eff</w:t>
      </w:r>
      <w:r>
        <w:rPr>
          <w:b w:val="0"/>
          <w:i w:val="0"/>
        </w:rPr>
        <w:t xml:space="preserve"> and </w:t>
      </w:r>
      <w:r>
        <w:rPr>
          <w:b w:val="0"/>
          <w:i w:val="0"/>
        </w:rPr>
        <w:t>n</w:t>
      </w:r>
      <w:r>
        <w:rPr>
          <w:b w:val="0"/>
          <w:i w:val="0"/>
          <w:vertAlign w:val="subscript"/>
        </w:rPr>
        <w:t>e</w:t>
      </w:r>
      <w:r>
        <w:rPr>
          <w:b w:val="0"/>
          <w:i w:val="0"/>
        </w:rPr>
        <w:t xml:space="preserve"> follow a single ash-inclusive definition </w:t>
      </w:r>
      <w:r>
        <w:rPr>
          <w:b w:val="0"/>
          <w:i w:val="0"/>
        </w:rPr>
        <w:t>n</w:t>
      </w:r>
      <w:r>
        <w:rPr>
          <w:b w:val="0"/>
          <w:i w:val="0"/>
          <w:vertAlign w:val="subscript"/>
        </w:rPr>
        <w:t>e</w:t>
      </w:r>
      <w:r>
        <w:rPr>
          <w:b w:val="0"/>
          <w:i w:val="0"/>
        </w:rPr>
        <w:t xml:space="preserve"> = </w:t>
      </w:r>
      <w:r>
        <w:rPr>
          <w:b w:val="0"/>
          <w:i w:val="0"/>
        </w:rPr>
        <w:t>n</w:t>
      </w:r>
      <w:r>
        <w:rPr>
          <w:b w:val="0"/>
          <w:i w:val="0"/>
          <w:vertAlign w:val="subscript"/>
        </w:rPr>
        <w:t>p</w:t>
      </w:r>
      <w:r>
        <w:rPr>
          <w:b w:val="0"/>
          <w:i w:val="0"/>
        </w:rPr>
        <w:t xml:space="preserve"> + </w:t>
      </w:r>
      <w:r>
        <w:rPr>
          <w:b w:val="0"/>
          <w:i w:val="0"/>
        </w:rPr>
        <w:t>Z</w:t>
      </w:r>
      <w:r>
        <w:rPr>
          <w:b w:val="0"/>
          <w:i w:val="0"/>
          <w:vertAlign w:val="subscript"/>
        </w:rPr>
        <w:t>B</w:t>
      </w:r>
      <w:r>
        <w:rPr>
          <w:b w:val="0"/>
          <w:i w:val="0"/>
        </w:rPr>
        <w:t xml:space="preserve"> </w:t>
      </w:r>
      <w:r>
        <w:rPr>
          <w:b w:val="0"/>
          <w:i w:val="0"/>
        </w:rPr>
        <w:t>n</w:t>
      </w:r>
      <w:r>
        <w:rPr>
          <w:b w:val="0"/>
          <w:i w:val="0"/>
          <w:vertAlign w:val="subscript"/>
        </w:rPr>
        <w:t>B</w:t>
      </w:r>
      <w:r>
        <w:rPr>
          <w:b w:val="0"/>
          <w:i w:val="0"/>
        </w:rPr>
        <w:t xml:space="preserve"> + </w:t>
      </w:r>
      <w:r>
        <w:rPr>
          <w:b w:val="0"/>
          <w:i w:val="0"/>
        </w:rPr>
        <w:t>Z</w:t>
      </w:r>
      <w:r>
        <w:rPr>
          <w:b w:val="0"/>
          <w:i w:val="0"/>
          <w:vertAlign w:val="subscript"/>
        </w:rPr>
        <w:t>α</w:t>
      </w:r>
      <w:r>
        <w:rPr>
          <w:b w:val="0"/>
          <w:i w:val="0"/>
        </w:rPr>
        <w:t xml:space="preserve"> </w:t>
      </w:r>
      <w:r>
        <w:rPr>
          <w:b w:val="0"/>
          <w:i w:val="0"/>
        </w:rPr>
        <w:t>n</w:t>
      </w:r>
      <w:r>
        <w:rPr>
          <w:b w:val="0"/>
          <w:i w:val="0"/>
          <w:vertAlign w:val="subscript"/>
        </w:rPr>
        <w:t>α</w:t>
      </w:r>
      <w:r>
        <w:rPr>
          <w:b w:val="0"/>
          <w:i w:val="0"/>
        </w:rPr>
        <w:t xml:space="preserve">, </w:t>
      </w:r>
      <w:r>
        <w:rPr>
          <w:b w:val="0"/>
          <w:i w:val="0"/>
        </w:rPr>
        <w:t>Z</w:t>
      </w:r>
      <w:r>
        <w:rPr>
          <w:b w:val="0"/>
          <w:i w:val="0"/>
          <w:vertAlign w:val="subscript"/>
        </w:rPr>
        <w:t>eff</w:t>
      </w:r>
      <w:r>
        <w:rPr>
          <w:b w:val="0"/>
          <w:i w:val="0"/>
        </w:rPr>
        <w:t xml:space="preserve"> = Σ </w:t>
      </w:r>
      <w:r>
        <w:rPr>
          <w:b w:val="0"/>
          <w:i w:val="0"/>
        </w:rPr>
        <w:t>n</w:t>
      </w:r>
      <w:r>
        <w:rPr>
          <w:b w:val="0"/>
          <w:i w:val="0"/>
          <w:vertAlign w:val="subscript"/>
        </w:rPr>
        <w:t>i</w:t>
      </w:r>
      <w:r>
        <w:rPr>
          <w:b w:val="0"/>
          <w:i w:val="0"/>
        </w:rPr>
        <w:t xml:space="preserve"> </w:t>
      </w:r>
      <w:r>
        <w:rPr>
          <w:b w:val="0"/>
          <w:i w:val="0"/>
        </w:rPr>
        <w:t>Z</w:t>
      </w:r>
      <w:r>
        <w:rPr>
          <w:b w:val="0"/>
          <w:i w:val="0"/>
          <w:vertAlign w:val="subscript"/>
        </w:rPr>
        <w:t>i</w:t>
      </w:r>
      <w:r>
        <w:rPr>
          <w:b w:val="0"/>
          <w:i w:val="0"/>
        </w:rPr>
        <w:t xml:space="preserve">² / </w:t>
      </w:r>
      <w:r>
        <w:rPr>
          <w:b w:val="0"/>
          <w:i w:val="0"/>
        </w:rPr>
        <w:t>n</w:t>
      </w:r>
      <w:r>
        <w:rPr>
          <w:b w:val="0"/>
          <w:i w:val="0"/>
          <w:vertAlign w:val="subscript"/>
        </w:rPr>
        <w:t>e</w:t>
      </w:r>
      <w:r>
        <w:rPr>
          <w:b w:val="0"/>
          <w:i w:val="0"/>
        </w:rPr>
        <w:t>.</w:t>
      </w:r>
    </w:p>
    <w:p>
      <w:pPr>
        <w:pStyle w:val="ListBullet"/>
      </w:pPr>
      <w:r>
        <w:rPr>
          <w:b/>
          <w:i w:val="0"/>
        </w:rPr>
        <w:t>Ion–electron exchange:</w:t>
      </w:r>
      <w:r>
        <w:rPr>
          <w:b w:val="0"/>
          <w:i w:val="0"/>
        </w:rPr>
        <w:t xml:space="preserve"> </w:t>
      </w:r>
      <w:r>
        <w:rPr>
          <w:b w:val="0"/>
          <w:i w:val="0"/>
        </w:rPr>
        <w:t>P</w:t>
      </w:r>
      <w:r>
        <w:rPr>
          <w:b w:val="0"/>
          <w:i w:val="0"/>
          <w:vertAlign w:val="subscript"/>
        </w:rPr>
        <w:t>ie</w:t>
      </w:r>
      <w:r>
        <w:rPr>
          <w:b w:val="0"/>
          <w:i w:val="0"/>
        </w:rPr>
        <w:t xml:space="preserve"> from the Spitzer/Trubnikov energy-equilibration rate with the relativistic correction R(x); this matches the NRL Plasma Formulary expression.</w:t>
      </w:r>
    </w:p>
    <w:p>
      <w:pPr>
        <w:pStyle w:val="ListBullet"/>
      </w:pPr>
      <w:r>
        <w:rPr>
          <w:b/>
          <w:i w:val="0"/>
        </w:rPr>
        <w:t xml:space="preserve">Self-consistent </w:t>
      </w:r>
      <w:r>
        <w:rPr>
          <w:b/>
          <w:i w:val="0"/>
        </w:rPr>
        <w:t>T</w:t>
      </w:r>
      <w:r>
        <w:rPr>
          <w:b/>
          <w:i w:val="0"/>
          <w:vertAlign w:val="subscript"/>
        </w:rPr>
        <w:t>e</w:t>
      </w:r>
      <w:r>
        <w:rPr>
          <w:b/>
          <w:i w:val="0"/>
        </w:rPr>
        <w:t>:</w:t>
      </w:r>
      <w:r>
        <w:rPr>
          <w:b w:val="0"/>
          <w:i w:val="0"/>
        </w:rPr>
        <w:t xml:space="preserve"> determined by the electron power balance </w:t>
      </w:r>
      <w:r>
        <w:rPr>
          <w:b w:val="0"/>
          <w:i w:val="0"/>
        </w:rPr>
        <w:t>P</w:t>
      </w:r>
      <w:r>
        <w:rPr>
          <w:b w:val="0"/>
          <w:i w:val="0"/>
          <w:vertAlign w:val="subscript"/>
        </w:rPr>
        <w:t>αe</w:t>
      </w:r>
      <w:r>
        <w:rPr>
          <w:b w:val="0"/>
          <w:i w:val="0"/>
        </w:rPr>
        <w:t xml:space="preserve"> + </w:t>
      </w:r>
      <w:r>
        <w:rPr>
          <w:b w:val="0"/>
          <w:i w:val="0"/>
        </w:rPr>
        <w:t>P</w:t>
      </w:r>
      <w:r>
        <w:rPr>
          <w:b w:val="0"/>
          <w:i w:val="0"/>
          <w:vertAlign w:val="subscript"/>
        </w:rPr>
        <w:t>ie</w:t>
      </w:r>
      <w:r>
        <w:rPr>
          <w:b w:val="0"/>
          <w:i w:val="0"/>
        </w:rPr>
        <w:t xml:space="preserve"> = </w:t>
      </w:r>
      <w:r>
        <w:rPr>
          <w:b w:val="0"/>
          <w:i w:val="0"/>
        </w:rPr>
        <w:t>P</w:t>
      </w:r>
      <w:r>
        <w:rPr>
          <w:b w:val="0"/>
          <w:i w:val="0"/>
          <w:vertAlign w:val="subscript"/>
        </w:rPr>
        <w:t>B</w:t>
      </w:r>
      <w:r>
        <w:rPr>
          <w:b w:val="0"/>
          <w:i w:val="0"/>
        </w:rPr>
        <w:t xml:space="preserve">, yielding </w:t>
      </w:r>
      <w:r>
        <w:rPr>
          <w:b w:val="0"/>
          <w:i w:val="0"/>
        </w:rPr>
        <w:t>T</w:t>
      </w:r>
      <w:r>
        <w:rPr>
          <w:b w:val="0"/>
          <w:i w:val="0"/>
          <w:vertAlign w:val="subscript"/>
        </w:rPr>
        <w:t>e</w:t>
      </w:r>
      <w:r>
        <w:rPr>
          <w:b w:val="0"/>
          <w:i w:val="0"/>
        </w:rPr>
        <w:t>/</w:t>
      </w:r>
      <w:r>
        <w:rPr>
          <w:b w:val="0"/>
          <w:i w:val="0"/>
        </w:rPr>
        <w:t>T</w:t>
      </w:r>
      <w:r>
        <w:rPr>
          <w:b w:val="0"/>
          <w:i w:val="0"/>
          <w:vertAlign w:val="subscript"/>
        </w:rPr>
        <w:t>i</w:t>
      </w:r>
      <w:r>
        <w:rPr>
          <w:b w:val="0"/>
          <w:i w:val="0"/>
        </w:rPr>
        <w:t xml:space="preserve"> ≈ 0.42 over the relevant range (Sec. III.A), i.e. a naturally decoupled hot-ion mode.</w:t>
      </w:r>
    </w:p>
    <w:p>
      <w:pPr>
        <w:pStyle w:val="ListBullet"/>
      </w:pPr>
      <w:r>
        <w:rPr>
          <w:b/>
          <w:i w:val="0"/>
        </w:rPr>
        <w:t>Net-power budget (Sec. III.D):</w:t>
      </w:r>
      <w:r>
        <w:rPr>
          <w:b w:val="0"/>
          <w:i w:val="0"/>
        </w:rPr>
        <w:t xml:space="preserve"> the multi-regime boundary study charges every loss channel, </w:t>
      </w:r>
      <w:r>
        <w:rPr>
          <w:b w:val="0"/>
          <w:i w:val="0"/>
        </w:rPr>
        <w:t>P</w:t>
      </w:r>
      <w:r>
        <w:rPr>
          <w:b w:val="0"/>
          <w:i w:val="0"/>
          <w:vertAlign w:val="subscript"/>
        </w:rPr>
        <w:t>net</w:t>
      </w:r>
      <w:r>
        <w:rPr>
          <w:b w:val="0"/>
          <w:i w:val="0"/>
        </w:rPr>
        <w:t xml:space="preserve"> = </w:t>
      </w:r>
      <w:r>
        <w:rPr>
          <w:b w:val="0"/>
          <w:i w:val="0"/>
        </w:rPr>
        <w:t>P</w:t>
      </w:r>
      <w:r>
        <w:rPr>
          <w:b w:val="0"/>
          <w:i w:val="0"/>
          <w:vertAlign w:val="subscript"/>
        </w:rPr>
        <w:t>fus</w:t>
      </w:r>
      <w:r>
        <w:rPr>
          <w:b w:val="0"/>
          <w:i w:val="0"/>
        </w:rPr>
        <w:t xml:space="preserve"> − </w:t>
      </w:r>
      <w:r>
        <w:rPr>
          <w:b w:val="0"/>
          <w:i w:val="0"/>
        </w:rPr>
        <w:t>P</w:t>
      </w:r>
      <w:r>
        <w:rPr>
          <w:b w:val="0"/>
          <w:i w:val="0"/>
          <w:vertAlign w:val="subscript"/>
        </w:rPr>
        <w:t>brems</w:t>
      </w:r>
      <w:r>
        <w:rPr>
          <w:b w:val="0"/>
          <w:i w:val="0"/>
        </w:rPr>
        <w:t xml:space="preserve"> − </w:t>
      </w:r>
      <w:r>
        <w:rPr>
          <w:b w:val="0"/>
          <w:i w:val="0"/>
        </w:rPr>
        <w:t>P</w:t>
      </w:r>
      <w:r>
        <w:rPr>
          <w:b w:val="0"/>
          <w:i w:val="0"/>
          <w:vertAlign w:val="subscript"/>
        </w:rPr>
        <w:t>drive</w:t>
      </w:r>
      <w:r>
        <w:rPr>
          <w:b w:val="0"/>
          <w:i w:val="0"/>
        </w:rPr>
        <w:t xml:space="preserve"> − </w:t>
      </w:r>
      <w:r>
        <w:rPr>
          <w:b w:val="0"/>
          <w:i w:val="0"/>
        </w:rPr>
        <w:t>P</w:t>
      </w:r>
      <w:r>
        <w:rPr>
          <w:b w:val="0"/>
          <w:i w:val="0"/>
          <w:vertAlign w:val="subscript"/>
        </w:rPr>
        <w:t>relax</w:t>
      </w:r>
      <w:r>
        <w:rPr>
          <w:b w:val="0"/>
          <w:i w:val="0"/>
        </w:rPr>
        <w:t xml:space="preserve">. The wave-drive cost of channeling a power </w:t>
      </w:r>
      <w:r>
        <w:rPr>
          <w:b w:val="0"/>
          <w:i w:val="0"/>
        </w:rPr>
        <w:t>P</w:t>
      </w:r>
      <w:r>
        <w:rPr>
          <w:b w:val="0"/>
          <w:i w:val="0"/>
          <w:vertAlign w:val="subscript"/>
        </w:rPr>
        <w:t>ch</w:t>
      </w:r>
      <w:r>
        <w:rPr>
          <w:b w:val="0"/>
          <w:i w:val="0"/>
        </w:rPr>
        <w:t xml:space="preserve"> = </w:t>
      </w:r>
      <w:r>
        <w:rPr>
          <w:b w:val="0"/>
          <w:i w:val="0"/>
        </w:rPr>
        <w:t>η</w:t>
      </w:r>
      <w:r>
        <w:rPr>
          <w:b w:val="0"/>
          <w:i w:val="0"/>
          <w:vertAlign w:val="subscript"/>
        </w:rPr>
        <w:t>ch</w:t>
      </w:r>
      <w:r>
        <w:rPr>
          <w:b w:val="0"/>
          <w:i w:val="0"/>
        </w:rPr>
        <w:t xml:space="preserve"> </w:t>
      </w:r>
      <w:r>
        <w:rPr>
          <w:b w:val="0"/>
          <w:i w:val="0"/>
        </w:rPr>
        <w:t>P</w:t>
      </w:r>
      <w:r>
        <w:rPr>
          <w:b w:val="0"/>
          <w:i w:val="0"/>
          <w:vertAlign w:val="subscript"/>
        </w:rPr>
        <w:t>α</w:t>
      </w:r>
      <w:r>
        <w:rPr>
          <w:b w:val="0"/>
          <w:i w:val="0"/>
        </w:rPr>
        <w:t xml:space="preserve"> (</w:t>
      </w:r>
      <w:r>
        <w:rPr>
          <w:b w:val="0"/>
          <w:i w:val="0"/>
        </w:rPr>
        <w:t>η</w:t>
      </w:r>
      <w:r>
        <w:rPr>
          <w:b w:val="0"/>
          <w:i w:val="0"/>
          <w:vertAlign w:val="subscript"/>
        </w:rPr>
        <w:t>ch</w:t>
      </w:r>
      <w:r>
        <w:rPr>
          <w:b w:val="0"/>
          <w:i w:val="0"/>
        </w:rPr>
        <w:t xml:space="preserve"> ≤ 0.5 the channeling efficiency, </w:t>
      </w:r>
      <w:r>
        <w:rPr>
          <w:b w:val="0"/>
          <w:i w:val="0"/>
        </w:rPr>
        <w:t>η</w:t>
      </w:r>
      <w:r>
        <w:rPr>
          <w:b w:val="0"/>
          <w:i w:val="0"/>
          <w:vertAlign w:val="subscript"/>
        </w:rPr>
        <w:t>drive</w:t>
      </w:r>
      <w:r>
        <w:rPr>
          <w:b w:val="0"/>
          <w:i w:val="0"/>
        </w:rPr>
        <w:t xml:space="preserve"> the wave-drive efficiency, </w:t>
      </w:r>
      <w:r>
        <w:rPr>
          <w:b w:val="0"/>
          <w:i w:val="0"/>
        </w:rPr>
        <w:t>P</w:t>
      </w:r>
      <w:r>
        <w:rPr>
          <w:b w:val="0"/>
          <w:i w:val="0"/>
          <w:vertAlign w:val="subscript"/>
        </w:rPr>
        <w:t>α</w:t>
      </w:r>
      <w:r>
        <w:rPr>
          <w:b w:val="0"/>
          <w:i w:val="0"/>
        </w:rPr>
        <w:t xml:space="preserve"> the alpha power) is </w:t>
      </w:r>
      <w:r>
        <w:rPr>
          <w:b w:val="0"/>
          <w:i w:val="0"/>
        </w:rPr>
        <w:t>P</w:t>
      </w:r>
      <w:r>
        <w:rPr>
          <w:b w:val="0"/>
          <w:i w:val="0"/>
          <w:vertAlign w:val="subscript"/>
        </w:rPr>
        <w:t>drive</w:t>
      </w:r>
      <w:r>
        <w:rPr>
          <w:b w:val="0"/>
          <w:i w:val="0"/>
        </w:rPr>
        <w:t xml:space="preserve"> = (1/</w:t>
      </w:r>
      <w:r>
        <w:rPr>
          <w:b w:val="0"/>
          <w:i w:val="0"/>
        </w:rPr>
        <w:t>η</w:t>
      </w:r>
      <w:r>
        <w:rPr>
          <w:b w:val="0"/>
          <w:i w:val="0"/>
          <w:vertAlign w:val="subscript"/>
        </w:rPr>
        <w:t>drive</w:t>
      </w:r>
      <w:r>
        <w:rPr>
          <w:b w:val="0"/>
          <w:i w:val="0"/>
        </w:rPr>
        <w:t xml:space="preserve"> − 1) </w:t>
      </w:r>
      <w:r>
        <w:rPr>
          <w:b w:val="0"/>
          <w:i w:val="0"/>
        </w:rPr>
        <w:t>P</w:t>
      </w:r>
      <w:r>
        <w:rPr>
          <w:b w:val="0"/>
          <w:i w:val="0"/>
          <w:vertAlign w:val="subscript"/>
        </w:rPr>
        <w:t>ch</w:t>
      </w:r>
      <w:r>
        <w:rPr>
          <w:b w:val="0"/>
          <w:i w:val="0"/>
        </w:rPr>
        <w:t xml:space="preserve">. The recirculation splits as </w:t>
      </w:r>
      <w:r>
        <w:rPr>
          <w:b w:val="0"/>
          <w:i w:val="0"/>
        </w:rPr>
        <w:t>P</w:t>
      </w:r>
      <w:r>
        <w:rPr>
          <w:b w:val="0"/>
          <w:i w:val="0"/>
          <w:vertAlign w:val="subscript"/>
        </w:rPr>
        <w:t>relax</w:t>
      </w:r>
      <w:r>
        <w:rPr>
          <w:b w:val="0"/>
          <w:i w:val="0"/>
        </w:rPr>
        <w:t xml:space="preserve"> = </w:t>
      </w:r>
      <w:r>
        <w:rPr>
          <w:b w:val="0"/>
          <w:i w:val="0"/>
        </w:rPr>
        <w:t>P</w:t>
      </w:r>
      <w:r>
        <w:rPr>
          <w:b w:val="0"/>
          <w:i w:val="0"/>
          <w:vertAlign w:val="subscript"/>
        </w:rPr>
        <w:t>relax,tail</w:t>
      </w:r>
      <w:r>
        <w:rPr>
          <w:b w:val="0"/>
          <w:i w:val="0"/>
        </w:rPr>
        <w:t xml:space="preserve"> + </w:t>
      </w:r>
      <w:r>
        <w:rPr>
          <w:b w:val="0"/>
          <w:i w:val="0"/>
        </w:rPr>
        <w:t>P</w:t>
      </w:r>
      <w:r>
        <w:rPr>
          <w:b w:val="0"/>
          <w:i w:val="0"/>
          <w:vertAlign w:val="subscript"/>
        </w:rPr>
        <w:t>relax,dec</w:t>
      </w:r>
      <w:r>
        <w:rPr>
          <w:b w:val="0"/>
          <w:i w:val="0"/>
        </w:rPr>
        <w:t xml:space="preserve">: continuous re-driving of the wave-sustained suprathermal tail, </w:t>
      </w:r>
      <w:r>
        <w:rPr>
          <w:b w:val="0"/>
          <w:i w:val="0"/>
        </w:rPr>
        <w:t>P</w:t>
      </w:r>
      <w:r>
        <w:rPr>
          <w:b w:val="0"/>
          <w:i w:val="0"/>
          <w:vertAlign w:val="subscript"/>
        </w:rPr>
        <w:t>relax,tail</w:t>
      </w:r>
      <w:r>
        <w:rPr>
          <w:b w:val="0"/>
          <w:i w:val="0"/>
        </w:rPr>
        <w:t xml:space="preserve"> = </w:t>
      </w:r>
      <w:r>
        <w:rPr>
          <w:b w:val="0"/>
          <w:i w:val="0"/>
        </w:rPr>
        <w:t>f</w:t>
      </w:r>
      <w:r>
        <w:rPr>
          <w:b w:val="0"/>
          <w:i w:val="0"/>
          <w:vertAlign w:val="subscript"/>
        </w:rPr>
        <w:t>tail</w:t>
      </w:r>
      <w:r>
        <w:rPr>
          <w:b w:val="0"/>
          <w:i w:val="0"/>
        </w:rPr>
        <w:t xml:space="preserve"> </w:t>
      </w:r>
      <w:r>
        <w:rPr>
          <w:b w:val="0"/>
          <w:i w:val="0"/>
        </w:rPr>
        <w:t>P</w:t>
      </w:r>
      <w:r>
        <w:rPr>
          <w:b w:val="0"/>
          <w:i w:val="0"/>
          <w:vertAlign w:val="subscript"/>
        </w:rPr>
        <w:t>ch</w:t>
      </w:r>
      <w:r>
        <w:rPr>
          <w:b w:val="0"/>
          <w:i w:val="0"/>
        </w:rPr>
        <w:t xml:space="preserve"> (the tail thermalizes on the slowing-down time), plus a decoupling cost </w:t>
      </w:r>
      <w:r>
        <w:rPr>
          <w:b w:val="0"/>
          <w:i w:val="0"/>
        </w:rPr>
        <w:t>P</w:t>
      </w:r>
      <w:r>
        <w:rPr>
          <w:b w:val="0"/>
          <w:i w:val="0"/>
          <w:vertAlign w:val="subscript"/>
        </w:rPr>
        <w:t>relax,dec</w:t>
      </w:r>
      <w:r>
        <w:rPr>
          <w:b w:val="0"/>
          <w:i w:val="0"/>
        </w:rPr>
        <w:t xml:space="preserve"> bracketed by two variants — (i) no-double-count, </w:t>
      </w:r>
      <w:r>
        <w:rPr>
          <w:b w:val="0"/>
          <w:i w:val="0"/>
        </w:rPr>
        <w:t>P</w:t>
      </w:r>
      <w:r>
        <w:rPr>
          <w:b w:val="0"/>
          <w:i w:val="0"/>
          <w:vertAlign w:val="subscript"/>
        </w:rPr>
        <w:t>relax,dec</w:t>
      </w:r>
      <w:r>
        <w:rPr>
          <w:b w:val="0"/>
          <w:i w:val="0"/>
        </w:rPr>
        <w:t xml:space="preserve"> = max(0, </w:t>
      </w:r>
      <w:r>
        <w:rPr>
          <w:b w:val="0"/>
          <w:i w:val="0"/>
        </w:rPr>
        <w:t>P</w:t>
      </w:r>
      <w:r>
        <w:rPr>
          <w:b w:val="0"/>
          <w:i w:val="0"/>
          <w:vertAlign w:val="subscript"/>
        </w:rPr>
        <w:t>αe</w:t>
      </w:r>
      <w:r>
        <w:rPr>
          <w:b w:val="0"/>
          <w:i w:val="0"/>
        </w:rPr>
        <w:t xml:space="preserve"> + </w:t>
      </w:r>
      <w:r>
        <w:rPr>
          <w:b w:val="0"/>
          <w:i w:val="0"/>
        </w:rPr>
        <w:t>P</w:t>
      </w:r>
      <w:r>
        <w:rPr>
          <w:b w:val="0"/>
          <w:i w:val="0"/>
          <w:vertAlign w:val="subscript"/>
        </w:rPr>
        <w:t>ie</w:t>
      </w:r>
      <w:r>
        <w:rPr>
          <w:b w:val="0"/>
          <w:i w:val="0"/>
        </w:rPr>
        <w:t xml:space="preserve"> − </w:t>
      </w:r>
      <w:r>
        <w:rPr>
          <w:b w:val="0"/>
          <w:i w:val="0"/>
        </w:rPr>
        <w:t>P</w:t>
      </w:r>
      <w:r>
        <w:rPr>
          <w:b w:val="0"/>
          <w:i w:val="0"/>
          <w:vertAlign w:val="subscript"/>
        </w:rPr>
        <w:t>B</w:t>
      </w:r>
      <w:r>
        <w:rPr>
          <w:b w:val="0"/>
          <w:i w:val="0"/>
        </w:rPr>
        <w:t xml:space="preserve">), the electron-power excess over bremsstrahlung that vanishes at the self-consistent </w:t>
      </w:r>
      <w:r>
        <w:rPr>
          <w:b w:val="0"/>
          <w:i w:val="0"/>
        </w:rPr>
        <w:t>T</w:t>
      </w:r>
      <w:r>
        <w:rPr>
          <w:b w:val="0"/>
          <w:i w:val="0"/>
          <w:vertAlign w:val="subscript"/>
        </w:rPr>
        <w:t>e</w:t>
      </w:r>
      <w:r>
        <w:rPr>
          <w:b w:val="0"/>
          <w:i w:val="0"/>
        </w:rPr>
        <w:t xml:space="preserve">; and (ii) strict Rider, </w:t>
      </w:r>
      <w:r>
        <w:rPr>
          <w:b w:val="0"/>
          <w:i w:val="0"/>
        </w:rPr>
        <w:t>P</w:t>
      </w:r>
      <w:r>
        <w:rPr>
          <w:b w:val="0"/>
          <w:i w:val="0"/>
          <w:vertAlign w:val="subscript"/>
        </w:rPr>
        <w:t>relax,dec</w:t>
      </w:r>
      <w:r>
        <w:rPr>
          <w:b w:val="0"/>
          <w:i w:val="0"/>
        </w:rPr>
        <w:t xml:space="preserve"> = </w:t>
      </w:r>
      <w:r>
        <w:rPr>
          <w:b w:val="0"/>
          <w:i w:val="0"/>
        </w:rPr>
        <w:t>P</w:t>
      </w:r>
      <w:r>
        <w:rPr>
          <w:b w:val="0"/>
          <w:i w:val="0"/>
          <w:vertAlign w:val="subscript"/>
        </w:rPr>
        <w:t>ie</w:t>
      </w:r>
      <w:r>
        <w:rPr>
          <w:b w:val="0"/>
          <w:i w:val="0"/>
        </w:rPr>
        <w:t xml:space="preserve">, the full ion→electron collisional transfer treated as recirculating load. The combinatorial scan additionally charges a synchrotron loss </w:t>
      </w:r>
      <w:r>
        <w:rPr>
          <w:b w:val="0"/>
          <w:i w:val="0"/>
        </w:rPr>
        <w:t>P</w:t>
      </w:r>
      <w:r>
        <w:rPr>
          <w:b w:val="0"/>
          <w:i w:val="0"/>
          <w:vertAlign w:val="subscript"/>
        </w:rPr>
        <w:t>sync</w:t>
      </w:r>
      <w:r>
        <w:rPr>
          <w:b w:val="0"/>
          <w:i w:val="0"/>
        </w:rPr>
        <w:t xml:space="preserve"> = ξ </w:t>
      </w:r>
      <w:r>
        <w:rPr>
          <w:b w:val="0"/>
          <w:i w:val="0"/>
        </w:rPr>
        <w:t>P</w:t>
      </w:r>
      <w:r>
        <w:rPr>
          <w:b w:val="0"/>
          <w:i w:val="0"/>
          <w:vertAlign w:val="subscript"/>
        </w:rPr>
        <w:t>B</w:t>
      </w:r>
      <w:r>
        <w:rPr>
          <w:b w:val="0"/>
          <w:i w:val="0"/>
        </w:rPr>
        <w:t xml:space="preserve"> and an impurity contribution to </w:t>
      </w:r>
      <w:r>
        <w:rPr>
          <w:b w:val="0"/>
          <w:i w:val="0"/>
        </w:rPr>
        <w:t>n</w:t>
      </w:r>
      <w:r>
        <w:rPr>
          <w:b w:val="0"/>
          <w:i w:val="0"/>
          <w:vertAlign w:val="subscript"/>
        </w:rPr>
        <w:t>e</w:t>
      </w:r>
      <w:r>
        <w:rPr>
          <w:b w:val="0"/>
          <w:i w:val="0"/>
        </w:rPr>
        <w:t xml:space="preserve"> and </w:t>
      </w:r>
      <w:r>
        <w:rPr>
          <w:b w:val="0"/>
          <w:i w:val="0"/>
        </w:rPr>
        <w:t>Z</w:t>
      </w:r>
      <w:r>
        <w:rPr>
          <w:b w:val="0"/>
          <w:i w:val="0"/>
          <w:vertAlign w:val="subscript"/>
        </w:rPr>
        <w:t>eff</w:t>
      </w:r>
      <w:r>
        <w:rPr>
          <w:b w:val="0"/>
          <w:i w:val="0"/>
        </w:rPr>
        <w:t>.</w:t>
      </w:r>
    </w:p>
    <w:p>
      <w:pPr>
        <w:spacing w:before="80" w:after="120"/>
        <w:ind w:left="432" w:right="288"/>
        <w:shd w:val="clear" w:color="auto" w:fill="F2F2F2"/>
      </w:pPr>
      <w:r>
        <w:rPr>
          <w:b/>
          <w:i w:val="0"/>
          <w:sz w:val="20"/>
        </w:rPr>
        <w:t>Footnote (Coulomb logarithm).</w:t>
      </w:r>
      <w:r>
        <w:rPr>
          <w:b w:val="0"/>
          <w:i w:val="0"/>
          <w:sz w:val="20"/>
        </w:rPr>
        <w:t xml:space="preserve"> The Wang thermal peak is sensitive to the electron–ion Coulomb logarithm: </w:t>
      </w:r>
      <w:r>
        <w:rPr>
          <w:b w:val="0"/>
          <w:i w:val="0"/>
          <w:sz w:val="20"/>
        </w:rPr>
        <w:t>P</w:t>
      </w:r>
      <w:r>
        <w:rPr>
          <w:b w:val="0"/>
          <w:i w:val="0"/>
          <w:sz w:val="20"/>
          <w:vertAlign w:val="subscript"/>
        </w:rPr>
        <w:t>F</w:t>
      </w:r>
      <w:r>
        <w:rPr>
          <w:b w:val="0"/>
          <w:i w:val="0"/>
          <w:sz w:val="20"/>
        </w:rPr>
        <w:t>/</w:t>
      </w:r>
      <w:r>
        <w:rPr>
          <w:b w:val="0"/>
          <w:i w:val="0"/>
          <w:sz w:val="20"/>
        </w:rPr>
        <w:t>P</w:t>
      </w:r>
      <w:r>
        <w:rPr>
          <w:b w:val="0"/>
          <w:i w:val="0"/>
          <w:sz w:val="20"/>
          <w:vertAlign w:val="subscript"/>
        </w:rPr>
        <w:t>B</w:t>
      </w:r>
      <w:r>
        <w:rPr>
          <w:b w:val="0"/>
          <w:i w:val="0"/>
          <w:sz w:val="20"/>
        </w:rPr>
        <w:t>(peak) = 1.01, 1.05, 1.12, 1.18 for lnΛ = 17, 15, 12, 10. At the standard value lnΛ ≈ 17 the result is at threshold; the spread is a further modeling sensitivity of the near-threshold conclusion.</w:t>
      </w:r>
    </w:p>
    <w:p>
      <w:r>
        <w:rPr>
          <w:b w:val="0"/>
          <w:i w:val="0"/>
        </w:rPr>
        <w:t>The principal results were reproduced by an independent from-scratch reimplementation and cross-checked against the published external references cited above; the cross-check is qualitative (the implementations concur on the quantities tabulated here), and the data-availability statement gives the reproducible pipeline.</w:t>
      </w:r>
    </w:p>
    <w:p>
      <w:pPr>
        <w:keepNext/>
        <w:spacing w:before="280" w:after="120"/>
      </w:pPr>
      <w:r>
        <w:rPr>
          <w:b/>
          <w:color w:val="1A1A1A"/>
          <w:sz w:val="28"/>
        </w:rPr>
        <w:t>III. Results</w:t>
      </w:r>
    </w:p>
    <w:p>
      <w:pPr>
        <w:keepNext/>
        <w:spacing w:before="200" w:after="80"/>
      </w:pPr>
      <w:r>
        <w:rPr>
          <w:b/>
          <w:color w:val="1A1A1A"/>
          <w:sz w:val="24"/>
        </w:rPr>
        <w:t>III.A Thermal baseline and cross-section sensitivity</w:t>
      </w:r>
    </w:p>
    <w:p>
      <w:r>
        <w:rPr>
          <w:b w:val="0"/>
          <w:i w:val="0"/>
        </w:rPr>
        <w:t xml:space="preserve">With a single self-consistent electron temperature, the </w:t>
      </w:r>
      <w:r>
        <w:rPr>
          <w:b/>
          <w:i w:val="0"/>
        </w:rPr>
        <w:t>thermal</w:t>
      </w:r>
      <w:r>
        <w:rPr>
          <w:b w:val="0"/>
          <w:i w:val="0"/>
        </w:rPr>
        <w:t xml:space="preserve"> (Maxwellian) fusion-to-bremsstrahlung ratio peaks at</w:t>
      </w:r>
    </w:p>
    <w:p>
      <w:pPr>
        <w:pStyle w:val="ListBullet"/>
      </w:pPr>
      <w:r>
        <w:rPr>
          <w:b/>
          <w:i w:val="0"/>
        </w:rPr>
        <w:t xml:space="preserve">TB: </w:t>
      </w:r>
      <w:r>
        <w:rPr>
          <w:b/>
          <w:i w:val="0"/>
        </w:rPr>
        <w:t>P</w:t>
      </w:r>
      <w:r>
        <w:rPr>
          <w:b/>
          <w:i w:val="0"/>
          <w:vertAlign w:val="subscript"/>
        </w:rPr>
        <w:t>F</w:t>
      </w:r>
      <w:r>
        <w:rPr>
          <w:b/>
          <w:i w:val="0"/>
        </w:rPr>
        <w:t>/</w:t>
      </w:r>
      <w:r>
        <w:rPr>
          <w:b/>
          <w:i w:val="0"/>
        </w:rPr>
        <w:t>P</w:t>
      </w:r>
      <w:r>
        <w:rPr>
          <w:b/>
          <w:i w:val="0"/>
          <w:vertAlign w:val="subscript"/>
        </w:rPr>
        <w:t>B</w:t>
      </w:r>
      <w:r>
        <w:rPr>
          <w:b/>
          <w:i w:val="0"/>
        </w:rPr>
        <w:t xml:space="preserve"> = 1.20 at </w:t>
      </w:r>
      <w:r>
        <w:rPr>
          <w:b/>
          <w:i w:val="0"/>
        </w:rPr>
        <w:t>T</w:t>
      </w:r>
      <w:r>
        <w:rPr>
          <w:b/>
          <w:i w:val="0"/>
          <w:vertAlign w:val="subscript"/>
        </w:rPr>
        <w:t>i</w:t>
      </w:r>
      <w:r>
        <w:rPr>
          <w:b/>
          <w:i w:val="0"/>
        </w:rPr>
        <w:t xml:space="preserve"> = 364 keV</w:t>
      </w:r>
      <w:r>
        <w:rPr>
          <w:b w:val="0"/>
          <w:i w:val="0"/>
        </w:rPr>
        <w:t>,</w:t>
      </w:r>
    </w:p>
    <w:p>
      <w:pPr>
        <w:pStyle w:val="ListBullet"/>
      </w:pPr>
      <w:r>
        <w:rPr>
          <w:b/>
          <w:i w:val="0"/>
        </w:rPr>
        <w:t>Wang: 1.01 at 381 keV</w:t>
      </w:r>
      <w:r>
        <w:rPr>
          <w:b w:val="0"/>
          <w:i w:val="0"/>
        </w:rPr>
        <w:t xml:space="preserve"> (exactly at threshold),</w:t>
      </w:r>
    </w:p>
    <w:p>
      <w:pPr>
        <w:pStyle w:val="ListBullet"/>
      </w:pPr>
      <w:r>
        <w:rPr>
          <w:b/>
          <w:i w:val="0"/>
        </w:rPr>
        <w:t>NS: 0.96 at 316 keV</w:t>
      </w:r>
      <w:r>
        <w:rPr>
          <w:b w:val="0"/>
          <w:i w:val="0"/>
        </w:rPr>
        <w:t xml:space="preserve"> (sub-threshold).</w:t>
      </w:r>
    </w:p>
    <w:p>
      <w:r>
        <w:rPr>
          <w:b w:val="0"/>
          <w:i w:val="0"/>
        </w:rPr>
        <w:t xml:space="preserve">The optimum boron fraction is </w:t>
      </w:r>
      <w:r>
        <w:rPr>
          <w:b w:val="0"/>
          <w:i w:val="0"/>
        </w:rPr>
        <w:t>f</w:t>
      </w:r>
      <w:r>
        <w:rPr>
          <w:b w:val="0"/>
          <w:i w:val="0"/>
          <w:vertAlign w:val="subscript"/>
        </w:rPr>
        <w:t>B</w:t>
      </w:r>
      <w:r>
        <w:rPr>
          <w:b w:val="0"/>
          <w:i w:val="0"/>
        </w:rPr>
        <w:t xml:space="preserve"> ≈ 0.13 for both modern cross sections, and re-optimizing </w:t>
      </w:r>
      <w:r>
        <w:rPr>
          <w:b w:val="0"/>
          <w:i w:val="0"/>
        </w:rPr>
        <w:t>f</w:t>
      </w:r>
      <w:r>
        <w:rPr>
          <w:b w:val="0"/>
          <w:i w:val="0"/>
          <w:vertAlign w:val="subscript"/>
        </w:rPr>
        <w:t>B</w:t>
      </w:r>
      <w:r>
        <w:rPr>
          <w:b w:val="0"/>
          <w:i w:val="0"/>
        </w:rPr>
        <w:t xml:space="preserve"> changes the peak by &lt;1%. Thus the cross-section choice alone moves the thermal result from comfortably igniting (TB) to threshold (Wang) to sub-threshold (NS)—the ~20% reactivity spread of Table 1 maps directly onto the sign of the ignition margin.</w:t>
      </w:r>
    </w:p>
    <w:p>
      <w:pPr>
        <w:keepNext/>
        <w:spacing w:before="200" w:after="80"/>
      </w:pPr>
      <w:r>
        <w:rPr>
          <w:b/>
          <w:color w:val="1A1A1A"/>
          <w:sz w:val="24"/>
        </w:rPr>
        <w:t>III.B Kinetic enhancement, decomposed</w:t>
      </w:r>
    </w:p>
    <w:p>
      <w:r>
        <w:rPr>
          <w:b w:val="0"/>
          <w:i w:val="0"/>
        </w:rPr>
        <w:t xml:space="preserve">The kinetic enhancement of the fusion power, enh ≡ </w:t>
      </w:r>
      <w:r>
        <w:rPr>
          <w:b w:val="0"/>
          <w:i w:val="0"/>
        </w:rPr>
        <w:t>P</w:t>
      </w:r>
      <w:r>
        <w:rPr>
          <w:b w:val="0"/>
          <w:i w:val="0"/>
          <w:vertAlign w:val="subscript"/>
        </w:rPr>
        <w:t>F</w:t>
      </w:r>
      <w:r>
        <w:rPr>
          <w:b w:val="0"/>
          <w:i w:val="0"/>
        </w:rPr>
        <w:t>[</w:t>
      </w:r>
      <w:r>
        <w:rPr>
          <w:b w:val="0"/>
          <w:i w:val="0"/>
        </w:rPr>
        <w:t>f</w:t>
      </w:r>
      <w:r>
        <w:rPr>
          <w:b w:val="0"/>
          <w:i w:val="0"/>
          <w:vertAlign w:val="subscript"/>
        </w:rPr>
        <w:t>kinetic</w:t>
      </w:r>
      <w:r>
        <w:rPr>
          <w:b w:val="0"/>
          <w:i w:val="0"/>
        </w:rPr>
        <w:t>]/</w:t>
      </w:r>
      <w:r>
        <w:rPr>
          <w:b w:val="0"/>
          <w:i w:val="0"/>
        </w:rPr>
        <w:t>P</w:t>
      </w:r>
      <w:r>
        <w:rPr>
          <w:b w:val="0"/>
          <w:i w:val="0"/>
          <w:vertAlign w:val="subscript"/>
        </w:rPr>
        <w:t>F</w:t>
      </w:r>
      <w:r>
        <w:rPr>
          <w:b w:val="0"/>
          <w:i w:val="0"/>
        </w:rPr>
        <w:t xml:space="preserve">[Maxwell], decomposes as shown in Table 2 (Wang, </w:t>
      </w:r>
      <w:r>
        <w:rPr>
          <w:b w:val="0"/>
          <w:i w:val="0"/>
        </w:rPr>
        <w:t>T</w:t>
      </w:r>
      <w:r>
        <w:rPr>
          <w:b w:val="0"/>
          <w:i w:val="0"/>
          <w:vertAlign w:val="subscript"/>
        </w:rPr>
        <w:t>i</w:t>
      </w:r>
      <w:r>
        <w:rPr>
          <w:b w:val="0"/>
          <w:i w:val="0"/>
        </w:rPr>
        <w:t xml:space="preserve"> = 180 keV).</w:t>
      </w:r>
    </w:p>
    <w:p>
      <w:r>
        <w:rPr>
          <w:b w:val="0"/>
          <w:i w:val="0"/>
        </w:rPr>
        <w:t xml:space="preserve">The kinetic-peak ratio is </w:t>
      </w:r>
      <w:r>
        <w:rPr>
          <w:b/>
          <w:i w:val="0"/>
        </w:rPr>
        <w:t>P</w:t>
      </w:r>
      <w:r>
        <w:rPr>
          <w:b/>
          <w:i w:val="0"/>
          <w:vertAlign w:val="subscript"/>
        </w:rPr>
        <w:t>F</w:t>
      </w:r>
      <w:r>
        <w:rPr>
          <w:b/>
          <w:i w:val="0"/>
        </w:rPr>
        <w:t>/</w:t>
      </w:r>
      <w:r>
        <w:rPr>
          <w:b/>
          <w:i w:val="0"/>
        </w:rPr>
        <w:t>P</w:t>
      </w:r>
      <w:r>
        <w:rPr>
          <w:b/>
          <w:i w:val="0"/>
          <w:vertAlign w:val="subscript"/>
        </w:rPr>
        <w:t>B</w:t>
      </w:r>
      <w:r>
        <w:rPr>
          <w:b/>
          <w:i w:val="0"/>
        </w:rPr>
        <w:t xml:space="preserve"> = 1.26 (Wang)</w:t>
      </w:r>
      <w:r>
        <w:rPr>
          <w:b w:val="0"/>
          <w:i w:val="0"/>
        </w:rPr>
        <w:t xml:space="preserve"> and </w:t>
      </w:r>
      <w:r>
        <w:rPr>
          <w:b/>
          <w:i w:val="0"/>
        </w:rPr>
        <w:t>1.50 (TB)</w:t>
      </w:r>
      <w:r>
        <w:rPr>
          <w:b w:val="0"/>
          <w:i w:val="0"/>
        </w:rPr>
        <w:t xml:space="preserve">. Removing the R-matrix factor and retaining only the Coulomb (Putvinski) enhancement gives </w:t>
      </w:r>
      <w:r>
        <w:rPr>
          <w:b/>
          <w:i w:val="0"/>
        </w:rPr>
        <w:t>P</w:t>
      </w:r>
      <w:r>
        <w:rPr>
          <w:b/>
          <w:i w:val="0"/>
          <w:vertAlign w:val="subscript"/>
        </w:rPr>
        <w:t>F</w:t>
      </w:r>
      <w:r>
        <w:rPr>
          <w:b/>
          <w:i w:val="0"/>
        </w:rPr>
        <w:t>/</w:t>
      </w:r>
      <w:r>
        <w:rPr>
          <w:b/>
          <w:i w:val="0"/>
        </w:rPr>
        <w:t>P</w:t>
      </w:r>
      <w:r>
        <w:rPr>
          <w:b/>
          <w:i w:val="0"/>
          <w:vertAlign w:val="subscript"/>
        </w:rPr>
        <w:t>B</w:t>
      </w:r>
      <w:r>
        <w:rPr>
          <w:b/>
          <w:i w:val="0"/>
        </w:rPr>
        <w:t xml:space="preserve"> = 0.98 (Wang) — sub-ignition</w:t>
      </w:r>
      <w:r>
        <w:rPr>
          <w:b w:val="0"/>
          <w:i w:val="0"/>
        </w:rPr>
        <w:t>. The surviving net gain therefore rests entirely on the R-matrix increment, the input carrying the largest (factor-two) uncertainty.</w:t>
      </w:r>
    </w:p>
    <w:p>
      <w:pPr>
        <w:keepNext/>
        <w:spacing w:before="200" w:after="80"/>
      </w:pPr>
      <w:r>
        <w:rPr>
          <w:b/>
          <w:color w:val="1A1A1A"/>
          <w:sz w:val="24"/>
        </w:rPr>
        <w:t>III.C Degeneracy of the kinetic uncertainties</w:t>
      </w:r>
    </w:p>
    <w:p>
      <w:r>
        <w:rPr>
          <w:b w:val="0"/>
          <w:i w:val="0"/>
        </w:rPr>
        <w:t xml:space="preserve">The alpha→proton diffusion scales as the product of the steady-state alpha density and the R-matrix factor, </w:t>
      </w:r>
      <w:r>
        <w:rPr>
          <w:b w:val="0"/>
          <w:i w:val="0"/>
        </w:rPr>
        <w:t>D</w:t>
      </w:r>
      <w:r>
        <w:rPr>
          <w:b w:val="0"/>
          <w:i w:val="0"/>
          <w:vertAlign w:val="subscript"/>
        </w:rPr>
        <w:t>α</w:t>
      </w:r>
      <w:r>
        <w:rPr>
          <w:b w:val="0"/>
          <w:i w:val="0"/>
        </w:rPr>
        <w:t xml:space="preserve"> ∝ (</w:t>
      </w:r>
      <w:r>
        <w:rPr>
          <w:b w:val="0"/>
          <w:i w:val="0"/>
        </w:rPr>
        <w:t>n</w:t>
      </w:r>
      <w:r>
        <w:rPr>
          <w:b w:val="0"/>
          <w:i w:val="0"/>
          <w:vertAlign w:val="subscript"/>
        </w:rPr>
        <w:t>α</w:t>
      </w:r>
      <w:r>
        <w:rPr>
          <w:b w:val="0"/>
          <w:i w:val="0"/>
        </w:rPr>
        <w:t>/</w:t>
      </w:r>
      <w:r>
        <w:rPr>
          <w:b w:val="0"/>
          <w:i w:val="0"/>
        </w:rPr>
        <w:t>n</w:t>
      </w:r>
      <w:r>
        <w:rPr>
          <w:b w:val="0"/>
          <w:i w:val="0"/>
          <w:vertAlign w:val="subscript"/>
        </w:rPr>
        <w:t>e</w:t>
      </w:r>
      <w:r>
        <w:rPr>
          <w:b w:val="0"/>
          <w:i w:val="0"/>
        </w:rPr>
        <w:t>)·</w:t>
      </w:r>
      <w:r>
        <w:rPr>
          <w:b w:val="0"/>
          <w:i w:val="0"/>
        </w:rPr>
        <w:t>F</w:t>
      </w:r>
      <w:r>
        <w:rPr>
          <w:b w:val="0"/>
          <w:i w:val="0"/>
          <w:vertAlign w:val="subscript"/>
        </w:rPr>
        <w:t>scale</w:t>
      </w:r>
      <w:r>
        <w:rPr>
          <w:b w:val="0"/>
          <w:i w:val="0"/>
        </w:rPr>
        <w:t xml:space="preserve">. Consequently the kinetic enhancement depends only on the single combined parameter </w:t>
      </w:r>
      <w:r>
        <w:rPr>
          <w:b/>
          <w:i w:val="0"/>
        </w:rPr>
        <w:t>p = (</w:t>
      </w:r>
      <w:r>
        <w:rPr>
          <w:b/>
          <w:i w:val="0"/>
        </w:rPr>
        <w:t>n</w:t>
      </w:r>
      <w:r>
        <w:rPr>
          <w:b/>
          <w:i w:val="0"/>
          <w:vertAlign w:val="subscript"/>
        </w:rPr>
        <w:t>α</w:t>
      </w:r>
      <w:r>
        <w:rPr>
          <w:b/>
          <w:i w:val="0"/>
        </w:rPr>
        <w:t>/</w:t>
      </w:r>
      <w:r>
        <w:rPr>
          <w:b/>
          <w:i w:val="0"/>
        </w:rPr>
        <w:t>n</w:t>
      </w:r>
      <w:r>
        <w:rPr>
          <w:b/>
          <w:i w:val="0"/>
          <w:vertAlign w:val="subscript"/>
        </w:rPr>
        <w:t>e</w:t>
      </w:r>
      <w:r>
        <w:rPr>
          <w:b/>
          <w:i w:val="0"/>
        </w:rPr>
        <w:t>)·</w:t>
      </w:r>
      <w:r>
        <w:rPr>
          <w:b/>
          <w:i w:val="0"/>
        </w:rPr>
        <w:t>F</w:t>
      </w:r>
      <w:r>
        <w:rPr>
          <w:b/>
          <w:i w:val="0"/>
          <w:vertAlign w:val="subscript"/>
        </w:rPr>
        <w:t>scale</w:t>
      </w:r>
      <w:r>
        <w:rPr>
          <w:b w:val="0"/>
          <w:i w:val="0"/>
        </w:rPr>
        <w:t>; we verify this collapse to machine precision (spread = 0 across off-diagonal pairs, with the R-matrix scale applied live). The two principal kinetic uncertainties are thus mathematically degenerate, and the ignition boundary in the (</w:t>
      </w:r>
      <w:r>
        <w:rPr>
          <w:b w:val="0"/>
          <w:i w:val="0"/>
        </w:rPr>
        <w:t>n</w:t>
      </w:r>
      <w:r>
        <w:rPr>
          <w:b w:val="0"/>
          <w:i w:val="0"/>
          <w:vertAlign w:val="subscript"/>
        </w:rPr>
        <w:t>α</w:t>
      </w:r>
      <w:r>
        <w:rPr>
          <w:b w:val="0"/>
          <w:i w:val="0"/>
        </w:rPr>
        <w:t xml:space="preserve">, </w:t>
      </w:r>
      <w:r>
        <w:rPr>
          <w:b w:val="0"/>
          <w:i w:val="0"/>
        </w:rPr>
        <w:t>F</w:t>
      </w:r>
      <w:r>
        <w:rPr>
          <w:b w:val="0"/>
          <w:i w:val="0"/>
          <w:vertAlign w:val="subscript"/>
        </w:rPr>
        <w:t>scale</w:t>
      </w:r>
      <w:r>
        <w:rPr>
          <w:b w:val="0"/>
          <w:i w:val="0"/>
        </w:rPr>
        <w:t>) plane is a hyperbola p = p</w:t>
      </w:r>
      <w:r>
        <w:rPr>
          <w:b w:val="0"/>
          <w:i/>
        </w:rPr>
        <w:t xml:space="preserve">. We find </w:t>
      </w:r>
      <w:r>
        <w:rPr>
          <w:b w:val="0"/>
          <w:i/>
        </w:rPr>
        <w:t>p</w:t>
      </w:r>
      <w:r>
        <w:rPr>
          <w:b w:val="0"/>
          <w:i w:val="0"/>
        </w:rPr>
        <w:t>(Wang) = 0.013</w:t>
      </w:r>
      <w:r>
        <w:rPr>
          <w:b/>
          <w:i w:val="0"/>
        </w:rPr>
        <w:t xml:space="preserve"> and </w:t>
      </w:r>
      <w:r>
        <w:rPr>
          <w:b w:val="0"/>
          <w:i w:val="0"/>
        </w:rPr>
        <w:t>p</w:t>
      </w:r>
      <w:r>
        <w:rPr>
          <w:b w:val="0"/>
          <w:i/>
        </w:rPr>
        <w:t>(TB) = 0</w:t>
      </w:r>
      <w:r>
        <w:rPr>
          <w:b w:val="0"/>
          <w:i/>
        </w:rPr>
        <w:t xml:space="preserve"> (TB ignites across the box). Figure 2 shows the resulting 2-D sensitivity map; within the conservative band (channeling efficiency ≤ 0.5) the Wang result is sub-ignition over a finite region and razor-thin elsewhere. This is an </w:t>
      </w:r>
      <w:r>
        <w:rPr>
          <w:b w:val="0"/>
          <w:i w:val="0"/>
        </w:rPr>
        <w:t>identifiability* statement: a single effective parameter, not two, governs the kinetic margin.</w:t>
      </w:r>
    </w:p>
    <w:p>
      <w:pPr>
        <w:keepNext/>
        <w:spacing w:before="200" w:after="80"/>
      </w:pPr>
      <w:r>
        <w:rPr>
          <w:b/>
          <w:color w:val="1A1A1A"/>
          <w:sz w:val="24"/>
        </w:rPr>
        <w:t>III.D Net-power across regimes: a boundary study</w:t>
      </w:r>
    </w:p>
    <w:p>
      <w:r>
        <w:rPr>
          <w:b w:val="0"/>
          <w:i w:val="0"/>
        </w:rPr>
        <w:t xml:space="preserve">We now retain </w:t>
      </w:r>
      <w:r>
        <w:rPr>
          <w:b w:val="0"/>
          <w:i/>
        </w:rPr>
        <w:t>every</w:t>
      </w:r>
      <w:r>
        <w:rPr>
          <w:b w:val="0"/>
          <w:i w:val="0"/>
        </w:rPr>
        <w:t xml:space="preserve"> loss channel and ask whether a positive net-power window opens in any regime. The budget is </w:t>
      </w:r>
      <w:r>
        <w:rPr>
          <w:b w:val="0"/>
          <w:i w:val="0"/>
        </w:rPr>
        <w:t>P</w:t>
      </w:r>
      <w:r>
        <w:rPr>
          <w:b w:val="0"/>
          <w:i w:val="0"/>
          <w:vertAlign w:val="subscript"/>
        </w:rPr>
        <w:t>net</w:t>
      </w:r>
      <w:r>
        <w:rPr>
          <w:b w:val="0"/>
          <w:i w:val="0"/>
        </w:rPr>
        <w:t xml:space="preserve"> = </w:t>
      </w:r>
      <w:r>
        <w:rPr>
          <w:b w:val="0"/>
          <w:i w:val="0"/>
        </w:rPr>
        <w:t>P</w:t>
      </w:r>
      <w:r>
        <w:rPr>
          <w:b w:val="0"/>
          <w:i w:val="0"/>
          <w:vertAlign w:val="subscript"/>
        </w:rPr>
        <w:t>fus</w:t>
      </w:r>
      <w:r>
        <w:rPr>
          <w:b w:val="0"/>
          <w:i w:val="0"/>
        </w:rPr>
        <w:t xml:space="preserve"> − </w:t>
      </w:r>
      <w:r>
        <w:rPr>
          <w:b w:val="0"/>
          <w:i w:val="0"/>
        </w:rPr>
        <w:t>P</w:t>
      </w:r>
      <w:r>
        <w:rPr>
          <w:b w:val="0"/>
          <w:i w:val="0"/>
          <w:vertAlign w:val="subscript"/>
        </w:rPr>
        <w:t>brems</w:t>
      </w:r>
      <w:r>
        <w:rPr>
          <w:b w:val="0"/>
          <w:i w:val="0"/>
        </w:rPr>
        <w:t xml:space="preserve"> − </w:t>
      </w:r>
      <w:r>
        <w:rPr>
          <w:b w:val="0"/>
          <w:i w:val="0"/>
        </w:rPr>
        <w:t>P</w:t>
      </w:r>
      <w:r>
        <w:rPr>
          <w:b w:val="0"/>
          <w:i w:val="0"/>
          <w:vertAlign w:val="subscript"/>
        </w:rPr>
        <w:t>drive</w:t>
      </w:r>
      <w:r>
        <w:rPr>
          <w:b w:val="0"/>
          <w:i w:val="0"/>
        </w:rPr>
        <w:t xml:space="preserve"> − </w:t>
      </w:r>
      <w:r>
        <w:rPr>
          <w:b w:val="0"/>
          <w:i w:val="0"/>
        </w:rPr>
        <w:t>P</w:t>
      </w:r>
      <w:r>
        <w:rPr>
          <w:b w:val="0"/>
          <w:i w:val="0"/>
          <w:vertAlign w:val="subscript"/>
        </w:rPr>
        <w:t>relax</w:t>
      </w:r>
      <w:r>
        <w:rPr>
          <w:b w:val="0"/>
          <w:i w:val="0"/>
        </w:rPr>
        <w:t xml:space="preserve">, where </w:t>
      </w:r>
      <w:r>
        <w:rPr>
          <w:b w:val="0"/>
          <w:i w:val="0"/>
        </w:rPr>
        <w:t>P</w:t>
      </w:r>
      <w:r>
        <w:rPr>
          <w:b w:val="0"/>
          <w:i w:val="0"/>
          <w:vertAlign w:val="subscript"/>
        </w:rPr>
        <w:t>drive</w:t>
      </w:r>
      <w:r>
        <w:rPr>
          <w:b w:val="0"/>
          <w:i w:val="0"/>
        </w:rPr>
        <w:t xml:space="preserve"> is the wave-drive cost of any channeling and </w:t>
      </w:r>
      <w:r>
        <w:rPr>
          <w:b w:val="0"/>
          <w:i w:val="0"/>
        </w:rPr>
        <w:t>P</w:t>
      </w:r>
      <w:r>
        <w:rPr>
          <w:b w:val="0"/>
          <w:i w:val="0"/>
          <w:vertAlign w:val="subscript"/>
        </w:rPr>
        <w:t>relax</w:t>
      </w:r>
      <w:r>
        <w:rPr>
          <w:b w:val="0"/>
          <w:i w:val="0"/>
        </w:rPr>
        <w:t xml:space="preserve"> is the recirculating cost of maintaining the non-equilibrium (the e–i recirculation à la Rider, and the suprathermal-tail maintenance). Two accounting variants bracket the recirculation: a no-double-count variant (electron-power excess over bremsstrahlung) and a strict (Rider) variant (full e–i transfer).</w:t>
      </w:r>
    </w:p>
    <w:p>
      <w:r>
        <w:rPr>
          <w:b/>
          <w:i w:val="0"/>
        </w:rPr>
        <w:t>Combinatorial (steady-state).</w:t>
      </w:r>
      <w:r>
        <w:rPr>
          <w:b w:val="0"/>
          <w:i w:val="0"/>
        </w:rPr>
        <w:t xml:space="preserve"> A Sobol scan of </w:t>
      </w:r>
      <w:r>
        <w:rPr>
          <w:b/>
          <w:i w:val="0"/>
        </w:rPr>
        <w:t>4.19×10⁶</w:t>
      </w:r>
      <w:r>
        <w:rPr>
          <w:b w:val="0"/>
          <w:i w:val="0"/>
        </w:rPr>
        <w:t xml:space="preserve"> parameter combinations over seven simultaneously-free levers (ion temperature, </w:t>
      </w:r>
      <w:r>
        <w:rPr>
          <w:b w:val="0"/>
          <w:i w:val="0"/>
        </w:rPr>
        <w:t>T</w:t>
      </w:r>
      <w:r>
        <w:rPr>
          <w:b w:val="0"/>
          <w:i w:val="0"/>
          <w:vertAlign w:val="subscript"/>
        </w:rPr>
        <w:t>e</w:t>
      </w:r>
      <w:r>
        <w:rPr>
          <w:b w:val="0"/>
          <w:i w:val="0"/>
        </w:rPr>
        <w:t>/</w:t>
      </w:r>
      <w:r>
        <w:rPr>
          <w:b w:val="0"/>
          <w:i w:val="0"/>
        </w:rPr>
        <w:t>T</w:t>
      </w:r>
      <w:r>
        <w:rPr>
          <w:b w:val="0"/>
          <w:i w:val="0"/>
          <w:vertAlign w:val="subscript"/>
        </w:rPr>
        <w:t>i</w:t>
      </w:r>
      <w:r>
        <w:rPr>
          <w:b w:val="0"/>
          <w:i w:val="0"/>
        </w:rPr>
        <w:t xml:space="preserve">, boron fraction, alpha density, channeling efficiency ≤ 0.5, tail fraction, drive efficiency, plus impurity and synchrotron losses) finds, under the strict (Rider) accounting and the modern Wang cross section, </w:t>
      </w:r>
      <w:r>
        <w:rPr>
          <w:b/>
          <w:i w:val="0"/>
        </w:rPr>
        <w:t>no positive net-power sample</w:t>
      </w:r>
      <w:r>
        <w:rPr>
          <w:b w:val="0"/>
          <w:i w:val="0"/>
        </w:rPr>
        <w:t xml:space="preserve"> (best case 14% below threshold). Under the lenient accounting only 2 of 4.19×10⁶ samples are positive, and both require </w:t>
      </w:r>
      <w:r>
        <w:rPr>
          <w:b w:val="0"/>
          <w:i/>
        </w:rPr>
        <w:t>every</w:t>
      </w:r>
      <w:r>
        <w:rPr>
          <w:b w:val="0"/>
          <w:i w:val="0"/>
        </w:rPr>
        <w:t xml:space="preserve"> optimistic lever simultaneously pinned at its ceiling (channeling efficiency ≈ 0.49, forced electron cooling below the self-consistent value, near-zero synchrotron, aggressive ash removal); neither lies in the demonstrated-physics sub-box. Two independent accounting approaches bracket the conservative margin at </w:t>
      </w:r>
      <w:r>
        <w:rPr>
          <w:b/>
          <w:i w:val="0"/>
        </w:rPr>
        <w:t>−14% to −76%</w:t>
      </w:r>
      <w:r>
        <w:rPr>
          <w:b w:val="0"/>
          <w:i w:val="0"/>
        </w:rPr>
        <w:t>, both negative. Figure 3 shows the net-power distribution and the parameter projection of the rare positive samples.</w:t>
      </w:r>
    </w:p>
    <w:p>
      <w:r>
        <w:rPr>
          <w:b/>
          <w:i w:val="0"/>
        </w:rPr>
        <w:t>Time-dependent (transient).</w:t>
      </w:r>
      <w:r>
        <w:rPr>
          <w:b w:val="0"/>
          <w:i w:val="0"/>
        </w:rPr>
        <w:t xml:space="preserve"> A two-temperature 0-D model evolved with a stiff integrator (instantaneous hot-ion spark, finite confinement time </w:t>
      </w:r>
      <w:r>
        <w:rPr>
          <w:b w:val="0"/>
          <w:i w:val="0"/>
        </w:rPr>
        <w:t>τ</w:t>
      </w:r>
      <w:r>
        <w:rPr>
          <w:b w:val="0"/>
          <w:i w:val="0"/>
          <w:vertAlign w:val="subscript"/>
        </w:rPr>
        <w:t>E</w:t>
      </w:r>
      <w:r>
        <w:rPr>
          <w:b w:val="0"/>
          <w:i w:val="0"/>
        </w:rPr>
        <w:t xml:space="preserve">) tests the transient </w:t>
      </w:r>
      <w:r>
        <w:rPr>
          <w:b w:val="0"/>
          <w:i w:val="0"/>
        </w:rPr>
        <w:t>T</w:t>
      </w:r>
      <w:r>
        <w:rPr>
          <w:b w:val="0"/>
          <w:i w:val="0"/>
          <w:vertAlign w:val="subscript"/>
        </w:rPr>
        <w:t>e</w:t>
      </w:r>
      <w:r>
        <w:rPr>
          <w:b w:val="0"/>
          <w:i w:val="0"/>
        </w:rPr>
        <w:t>&lt;</w:t>
      </w:r>
      <w:r>
        <w:rPr>
          <w:b w:val="0"/>
          <w:i w:val="0"/>
        </w:rPr>
        <w:t>T</w:t>
      </w:r>
      <w:r>
        <w:rPr>
          <w:b w:val="0"/>
          <w:i w:val="0"/>
          <w:vertAlign w:val="subscript"/>
        </w:rPr>
        <w:t>i</w:t>
      </w:r>
      <w:r>
        <w:rPr>
          <w:b w:val="0"/>
          <w:i w:val="0"/>
        </w:rPr>
        <w:t xml:space="preserve"> window. The instantaneous </w:t>
      </w:r>
      <w:r>
        <w:rPr>
          <w:b w:val="0"/>
          <w:i w:val="0"/>
        </w:rPr>
        <w:t>P</w:t>
      </w:r>
      <w:r>
        <w:rPr>
          <w:b w:val="0"/>
          <w:i w:val="0"/>
          <w:vertAlign w:val="subscript"/>
        </w:rPr>
        <w:t>fus</w:t>
      </w:r>
      <w:r>
        <w:rPr>
          <w:b w:val="0"/>
          <w:i w:val="0"/>
        </w:rPr>
        <w:t>/</w:t>
      </w:r>
      <w:r>
        <w:rPr>
          <w:b w:val="0"/>
          <w:i w:val="0"/>
        </w:rPr>
        <w:t>P</w:t>
      </w:r>
      <w:r>
        <w:rPr>
          <w:b w:val="0"/>
          <w:i w:val="0"/>
          <w:vertAlign w:val="subscript"/>
        </w:rPr>
        <w:t>brems</w:t>
      </w:r>
      <w:r>
        <w:rPr>
          <w:b w:val="0"/>
          <w:i w:val="0"/>
        </w:rPr>
        <w:t xml:space="preserve"> reaches ~2.7 while the electrons are cold, but the </w:t>
      </w:r>
      <w:r>
        <w:rPr>
          <w:b/>
          <w:i w:val="0"/>
        </w:rPr>
        <w:t>cycle-integrated gain</w:t>
      </w:r>
      <w:r>
        <w:rPr>
          <w:b w:val="0"/>
          <w:i w:val="0"/>
        </w:rPr>
        <w:t xml:space="preserve"> G = </w:t>
      </w:r>
      <w:r>
        <w:rPr>
          <w:b w:val="0"/>
          <w:i w:val="0"/>
        </w:rPr>
        <w:t>E</w:t>
      </w:r>
      <w:r>
        <w:rPr>
          <w:b w:val="0"/>
          <w:i w:val="0"/>
          <w:vertAlign w:val="subscript"/>
        </w:rPr>
        <w:t>fus</w:t>
      </w:r>
      <w:r>
        <w:rPr>
          <w:b w:val="0"/>
          <w:i w:val="0"/>
        </w:rPr>
        <w:t>/(</w:t>
      </w:r>
      <w:r>
        <w:rPr>
          <w:b w:val="0"/>
          <w:i w:val="0"/>
        </w:rPr>
        <w:t>E</w:t>
      </w:r>
      <w:r>
        <w:rPr>
          <w:b w:val="0"/>
          <w:i w:val="0"/>
          <w:vertAlign w:val="subscript"/>
        </w:rPr>
        <w:t>spark</w:t>
      </w:r>
      <w:r>
        <w:rPr>
          <w:b w:val="0"/>
          <w:i w:val="0"/>
        </w:rPr>
        <w:t xml:space="preserve"> + </w:t>
      </w:r>
      <w:r>
        <w:rPr>
          <w:b w:val="0"/>
          <w:i w:val="0"/>
        </w:rPr>
        <w:t>E</w:t>
      </w:r>
      <w:r>
        <w:rPr>
          <w:b w:val="0"/>
          <w:i w:val="0"/>
          <w:vertAlign w:val="subscript"/>
        </w:rPr>
        <w:t>brems</w:t>
      </w:r>
      <w:r>
        <w:rPr>
          <w:b w:val="0"/>
          <w:i w:val="0"/>
        </w:rPr>
        <w:t xml:space="preserve"> + </w:t>
      </w:r>
      <w:r>
        <w:rPr>
          <w:b w:val="0"/>
          <w:i w:val="0"/>
        </w:rPr>
        <w:t>E</w:t>
      </w:r>
      <w:r>
        <w:rPr>
          <w:b w:val="0"/>
          <w:i w:val="0"/>
          <w:vertAlign w:val="subscript"/>
        </w:rPr>
        <w:t>trans</w:t>
      </w:r>
      <w:r>
        <w:rPr>
          <w:b w:val="0"/>
          <w:i w:val="0"/>
        </w:rPr>
        <w:t xml:space="preserve">) is ~0.02 at the achievable </w:t>
      </w:r>
      <w:r>
        <w:rPr>
          <w:b w:val="0"/>
          <w:i w:val="0"/>
        </w:rPr>
        <w:t>τ</w:t>
      </w:r>
      <w:r>
        <w:rPr>
          <w:b w:val="0"/>
          <w:i w:val="0"/>
          <w:vertAlign w:val="subscript"/>
        </w:rPr>
        <w:t>E</w:t>
      </w:r>
      <w:r>
        <w:rPr>
          <w:b w:val="0"/>
          <w:i w:val="0"/>
        </w:rPr>
        <w:t xml:space="preserve"> (~1 s) and </w:t>
      </w:r>
      <w:r>
        <w:rPr>
          <w:b/>
          <w:i w:val="0"/>
        </w:rPr>
        <w:t xml:space="preserve">remains below 0.4 even at </w:t>
      </w:r>
      <w:r>
        <w:rPr>
          <w:b/>
          <w:i w:val="0"/>
        </w:rPr>
        <w:t>τ</w:t>
      </w:r>
      <w:r>
        <w:rPr>
          <w:b/>
          <w:i w:val="0"/>
          <w:vertAlign w:val="subscript"/>
        </w:rPr>
        <w:t>E</w:t>
      </w:r>
      <w:r>
        <w:rPr>
          <w:b/>
          <w:i w:val="0"/>
        </w:rPr>
        <w:t xml:space="preserve"> = 100 s</w:t>
      </w:r>
      <w:r>
        <w:rPr>
          <w:b w:val="0"/>
          <w:i w:val="0"/>
        </w:rPr>
        <w:t xml:space="preserve"> (the perfect-confinement limit)—i.e. not even a confinement artifact. Crediting all alpha power to the ions (the most ion-favorable accounting) raises this only to G ≲ 0.36. The hot-ion spark energy exceeds the fusion produced before the plasma cools by a factor of order 50. Figure 4 shows representative trajectories and the G-map.</w:t>
      </w:r>
    </w:p>
    <w:p>
      <w:r>
        <w:rPr>
          <w:b/>
          <w:i w:val="0"/>
        </w:rPr>
        <w:t>Spatial (1-D radial).</w:t>
      </w:r>
      <w:r>
        <w:rPr>
          <w:b w:val="0"/>
          <w:i w:val="0"/>
        </w:rPr>
        <w:t xml:space="preserve"> A cylindrical steady-state model with prescribed hot-core/cold-edge profiles, charging the conductive transport loss, tests spatial separation of fusion from radiation/ash. At realistic heat diffusivities (Bohm and gyro-Bohm, B ∈ [5,20] T) the boundary heat conduction exceeds the volume-integrated fusion by </w:t>
      </w:r>
      <w:r>
        <w:rPr>
          <w:b/>
          <w:i w:val="0"/>
        </w:rPr>
        <w:t>20× (gyro-Bohm) to ~10⁴× (Bohm)</w:t>
      </w:r>
      <w:r>
        <w:rPr>
          <w:b w:val="0"/>
          <w:i w:val="0"/>
        </w:rPr>
        <w:t>; even in the χ→0 (perfect-insulation) limit the decoupled profile is sub-marginal, because concentrating fusion in a small hot core reduces the volume-integrated reactivity more than it saves edge bremsstrahlung. Spatial separation fails on both counts. Figure 5 shows the radial profiles and the net-power maps.</w:t>
      </w:r>
    </w:p>
    <w:p>
      <w:r>
        <w:rPr>
          <w:b w:val="0"/>
          <w:i w:val="0"/>
        </w:rPr>
        <w:t>Table 3 consolidates the four regimes. Five distinct modeling sensitivities are reported transparently and propagate into the margins: the NS analytic-vs-integral offset (Sec. II.A), the ~3% bremsstrahlung-coefficient convention (Sec. II.E), the combinatorial accounting bracket (−14% to −76%), the pulsed alpha-deposition accounting (G ≤ 0.36), and the Coulomb logarithm (Sec. II.E).</w:t>
      </w:r>
    </w:p>
    <w:p>
      <w:pPr>
        <w:keepNext/>
        <w:spacing w:before="280" w:after="120"/>
      </w:pPr>
      <w:r>
        <w:rPr>
          <w:b/>
          <w:color w:val="1A1A1A"/>
          <w:sz w:val="28"/>
        </w:rPr>
        <w:t>IV. Discussion</w:t>
      </w:r>
    </w:p>
    <w:p>
      <w:r>
        <w:rPr>
          <w:b w:val="0"/>
          <w:i w:val="0"/>
        </w:rPr>
        <w:t xml:space="preserve">The picture that emerges is internally consistent and consistent with the literature. The thermal margin with the modern Wang cross section (~1.01) reproduces the few-percent margin and onerous confinement requirement of the original Putvinski analysis [1]; the present study is a </w:t>
      </w:r>
      <w:r>
        <w:rPr>
          <w:b w:val="0"/>
          <w:i/>
        </w:rPr>
        <w:t>confirmation within uncertainty</w:t>
      </w:r>
      <w:r>
        <w:rPr>
          <w:b w:val="0"/>
          <w:i w:val="0"/>
        </w:rPr>
        <w:t>, not a contradiction. The equilibrium, combinatorial, transient, and spatial regimes provide four independent realizations of the recirculating-power limit on non-equilibrium fusion systems [7]: maintaining the non-thermal feature that helps (a suprathermal tail, a two-temperature state, a spatial gradient) costs more than it returns once the maintenance cost is charged.</w:t>
      </w:r>
    </w:p>
    <w:p>
      <w:r>
        <w:rPr>
          <w:b w:val="0"/>
          <w:i w:val="0"/>
        </w:rPr>
        <w:t>The two most discussed enhancement mechanisms enter as follows. The alpha-channeling/ash-demixing schemes [6], and subsequent spatial-separation proposals, can in principle reduce bremsstrahlung and feed the reactive tail, but in the present budget their drive and recirculation costs offset the gain at demonstrated efficiencies; the positive island, where it exists at all, requires channeling efficiencies and ash-removal rates well above demonstrated values and is therefore an unproven precondition rather than a result. The R-matrix elastic enhancement is the single lever that converts the Wang kinetic peak from sub-ignition to ~1.26; given its factor-two uncertainty, a quantitative ignition claim cannot rest on it without an independent calibration.</w:t>
      </w:r>
    </w:p>
    <w:p>
      <w:r>
        <w:rPr>
          <w:b w:val="0"/>
          <w:i w:val="0"/>
        </w:rPr>
        <w:t>We deliberately avoid characterizing earlier optimistic estimates as artifacts; the differences are quantitatively attributable to specific, individually-defensible modeling choices (cross-section parameterization, enhancement magnitude, loss accounting), and the contribution of this work is to make those choices explicit and to propagate their uncertainty. The 0-D/1-D scope is also a limitation: a positive island, were one to survive a full transport calculation, would not be excluded by the present treatment—but the consistent negativity across four independent regimes, each biased toward the optimistic side where assumptions were required, places the burden of proof on any future positive claim.</w:t>
      </w:r>
    </w:p>
    <w:p>
      <w:pPr>
        <w:keepNext/>
        <w:spacing w:before="280" w:after="120"/>
      </w:pPr>
      <w:r>
        <w:rPr>
          <w:b/>
          <w:color w:val="1A1A1A"/>
          <w:sz w:val="28"/>
        </w:rPr>
        <w:t>V. Conclusion</w:t>
      </w:r>
    </w:p>
    <w:p>
      <w:r>
        <w:rPr>
          <w:b w:val="0"/>
          <w:i w:val="0"/>
        </w:rPr>
        <w:t>Across equilibrium (thermal and kinetic), combinatorial (4.19×10⁶-sample), time-dependent (transient), and spatial (1-D) regimes, conservatively-modeled proton–boron-11 ignition is marginal to sub-threshold with the modern Wang cross section, and the surviving optimistic strand is fragile to individual modeling choices: the cross-section parameterization alone flips the thermal margin across threshold; the kinetic net gain rests entirely on a factor-two-uncertain R-matrix factor; and no defensible parameter combination yields a positive net-power island under conservative accounting. The two principal kinetic uncertainties are degenerate, so a single effective parameter controls the margin. Reproducible cross-section benchmarking and explicit uncertainty propagation are, on this evidence, prerequisites for any p-11B ignition claim. The framework, all cross-section coefficients, and every figure are released for reuse.</w:t>
      </w:r>
    </w:p>
    <w:p>
      <w:pPr>
        <w:keepNext/>
        <w:spacing w:before="280" w:after="120"/>
      </w:pPr>
      <w:r>
        <w:rPr>
          <w:b/>
          <w:color w:val="1A1A1A"/>
          <w:sz w:val="28"/>
        </w:rPr>
        <w:t>Data availability</w:t>
      </w:r>
    </w:p>
    <w:p>
      <w:r>
        <w:rPr>
          <w:b w:val="0"/>
          <w:i w:val="0"/>
        </w:rPr>
        <w:t>All numerical results are reproduced by the released code with a fixed environment (numpy 2.x, scipy 1.x, matplotlib 3.x). All code and data are archived at Zenodo, DOI: 10.5281/zenodo.21104021 (release v2.1, commit 27495ca), and are also available at https://github.com/msyrt-sys/pB11-kinetic-ignition. Each figure and table is generated by a named script with its CSV output:</w:t>
      </w:r>
    </w:p>
    <w:p>
      <w:pPr>
        <w:pStyle w:val="ListBullet"/>
      </w:pPr>
      <w:r>
        <w:rPr>
          <w:b w:val="0"/>
          <w:i w:val="0"/>
        </w:rPr>
        <w:t xml:space="preserve">Table 1, Figure 1 — </w:t>
      </w:r>
      <w:r>
        <w:rPr>
          <w:rFonts w:ascii="Consolas" w:hAnsi="Consolas"/>
          <w:sz w:val="20"/>
        </w:rPr>
        <w:t>scripts/fig_cross_sections.py</w:t>
      </w:r>
      <w:r>
        <w:rPr>
          <w:b w:val="0"/>
          <w:i w:val="0"/>
        </w:rPr>
        <w:t xml:space="preserve"> (cross sections + reactivity); a ⟨σv⟩ benchmark gate verifies the integrator to &lt;0.15%.</w:t>
      </w:r>
    </w:p>
    <w:p>
      <w:pPr>
        <w:pStyle w:val="ListBullet"/>
      </w:pPr>
      <w:r>
        <w:rPr>
          <w:b w:val="0"/>
          <w:i w:val="0"/>
        </w:rPr>
        <w:t xml:space="preserve">Figure 2 — </w:t>
      </w:r>
      <w:r>
        <w:rPr>
          <w:rFonts w:ascii="Consolas" w:hAnsi="Consolas"/>
          <w:sz w:val="20"/>
        </w:rPr>
        <w:t>scripts/sensitivity_analysis_2d.py</w:t>
      </w:r>
      <w:r>
        <w:rPr>
          <w:b w:val="0"/>
          <w:i w:val="0"/>
        </w:rPr>
        <w:t xml:space="preserve"> (+ </w:t>
      </w:r>
      <w:r>
        <w:rPr>
          <w:rFonts w:ascii="Consolas" w:hAnsi="Consolas"/>
          <w:sz w:val="20"/>
        </w:rPr>
        <w:t>sensitivity_2d_grid.csv</w:t>
      </w:r>
      <w:r>
        <w:rPr>
          <w:b w:val="0"/>
          <w:i w:val="0"/>
        </w:rPr>
        <w:t xml:space="preserve">, </w:t>
      </w:r>
      <w:r>
        <w:rPr>
          <w:rFonts w:ascii="Consolas" w:hAnsi="Consolas"/>
          <w:sz w:val="20"/>
        </w:rPr>
        <w:t>sensitivity_2d_summary.csv</w:t>
      </w:r>
      <w:r>
        <w:rPr>
          <w:b w:val="0"/>
          <w:i w:val="0"/>
        </w:rPr>
        <w:t>).</w:t>
      </w:r>
    </w:p>
    <w:p>
      <w:pPr>
        <w:pStyle w:val="ListBullet"/>
      </w:pPr>
      <w:r>
        <w:rPr>
          <w:b w:val="0"/>
          <w:i w:val="0"/>
        </w:rPr>
        <w:t xml:space="preserve">Figure 3 — </w:t>
      </w:r>
      <w:r>
        <w:rPr>
          <w:rFonts w:ascii="Consolas" w:hAnsi="Consolas"/>
          <w:sz w:val="20"/>
        </w:rPr>
        <w:t>scripts/alpha_channeling_montecarlo.py</w:t>
      </w:r>
      <w:r>
        <w:rPr>
          <w:b w:val="0"/>
          <w:i w:val="0"/>
        </w:rPr>
        <w:t xml:space="preserve"> (+ </w:t>
      </w:r>
      <w:r>
        <w:rPr>
          <w:rFonts w:ascii="Consolas" w:hAnsi="Consolas"/>
          <w:sz w:val="20"/>
        </w:rPr>
        <w:t>montecarlo_*.csv</w:t>
      </w:r>
      <w:r>
        <w:rPr>
          <w:b w:val="0"/>
          <w:i w:val="0"/>
        </w:rPr>
        <w:t>); includes a mandatory interpolation self-check (&lt;0.1%).</w:t>
      </w:r>
    </w:p>
    <w:p>
      <w:pPr>
        <w:pStyle w:val="ListBullet"/>
      </w:pPr>
      <w:r>
        <w:rPr>
          <w:b w:val="0"/>
          <w:i w:val="0"/>
        </w:rPr>
        <w:t xml:space="preserve">Figure 4 — </w:t>
      </w:r>
      <w:r>
        <w:rPr>
          <w:rFonts w:ascii="Consolas" w:hAnsi="Consolas"/>
          <w:sz w:val="20"/>
        </w:rPr>
        <w:t>scripts/pulsed_0d_model.py</w:t>
      </w:r>
      <w:r>
        <w:rPr>
          <w:b w:val="0"/>
          <w:i w:val="0"/>
        </w:rPr>
        <w:t xml:space="preserve"> (+ </w:t>
      </w:r>
      <w:r>
        <w:rPr>
          <w:rFonts w:ascii="Consolas" w:hAnsi="Consolas"/>
          <w:sz w:val="20"/>
        </w:rPr>
        <w:t>pulsed_*.csv</w:t>
      </w:r>
      <w:r>
        <w:rPr>
          <w:b w:val="0"/>
          <w:i w:val="0"/>
        </w:rPr>
        <w:t>); interpolation self-check (&lt;0.1%).</w:t>
      </w:r>
    </w:p>
    <w:p>
      <w:pPr>
        <w:pStyle w:val="ListBullet"/>
      </w:pPr>
      <w:r>
        <w:rPr>
          <w:b w:val="0"/>
          <w:i w:val="0"/>
        </w:rPr>
        <w:t xml:space="preserve">Figure 5 — </w:t>
      </w:r>
      <w:r>
        <w:rPr>
          <w:rFonts w:ascii="Consolas" w:hAnsi="Consolas"/>
          <w:sz w:val="20"/>
        </w:rPr>
        <w:t>scripts/radial_1d_model.py</w:t>
      </w:r>
      <w:r>
        <w:rPr>
          <w:b w:val="0"/>
          <w:i w:val="0"/>
        </w:rPr>
        <w:t xml:space="preserve"> (+ </w:t>
      </w:r>
      <w:r>
        <w:rPr>
          <w:rFonts w:ascii="Consolas" w:hAnsi="Consolas"/>
          <w:sz w:val="20"/>
        </w:rPr>
        <w:t>radial_*.csv</w:t>
      </w:r>
      <w:r>
        <w:rPr>
          <w:b w:val="0"/>
          <w:i w:val="0"/>
        </w:rPr>
        <w:t>); interpolation self-check (&lt;0.1%) and a uniform-profile → 0-D reduction self-check (&lt;1%).</w:t>
      </w:r>
    </w:p>
    <w:p>
      <w:r>
        <w:rPr>
          <w:b/>
          <w:i w:val="0"/>
        </w:rPr>
        <w:t>Independent verification.</w:t>
      </w:r>
      <w:r>
        <w:rPr>
          <w:b w:val="0"/>
          <w:i w:val="0"/>
        </w:rPr>
        <w:t xml:space="preserve"> The independent from-scratch reimplementation is included in the archive (</w:t>
      </w:r>
      <w:r>
        <w:rPr>
          <w:rFonts w:ascii="Consolas" w:hAnsi="Consolas"/>
          <w:sz w:val="20"/>
        </w:rPr>
        <w:t>validation/</w:t>
      </w:r>
      <w:r>
        <w:rPr>
          <w:b w:val="0"/>
          <w:i w:val="0"/>
        </w:rPr>
        <w:t>), sharing no code with the primary implementation (SI units, an independent integrator, the Wang/Rider bremsstrahlung form), and reproduces the principal results (reactivity to &lt;0.1%, thermal peaks, the combinatorial null, pulsed G&lt;1, and transport dominance). The results are additionally anchored to published external evaluations (Tentori–Belloni 2023 cross section to 0.4%; Nevins–Swain low-temperature reactivity; the relativistic bremsstrahlung terms [9]; and the NRL ion–electron exchange rate). The cross-section coefficients were validated three independent ways against the published Table 1.</w:t>
      </w:r>
    </w:p>
    <w:p>
      <w:pPr>
        <w:keepNext/>
        <w:spacing w:before="280" w:after="120"/>
      </w:pPr>
      <w:r>
        <w:rPr>
          <w:b/>
          <w:color w:val="1A1A1A"/>
          <w:sz w:val="28"/>
        </w:rPr>
        <w:t>References</w:t>
      </w:r>
    </w:p>
    <w:p>
      <w:pPr>
        <w:spacing w:after="40"/>
        <w:ind w:left="432" w:hanging="432"/>
      </w:pPr>
      <w:r>
        <w:rPr>
          <w:b w:val="0"/>
          <w:i w:val="0"/>
          <w:sz w:val="20"/>
        </w:rPr>
        <w:t xml:space="preserve">1. </w:t>
      </w:r>
      <w:r>
        <w:rPr>
          <w:b w:val="0"/>
          <w:i w:val="0"/>
          <w:sz w:val="20"/>
        </w:rPr>
        <w:t xml:space="preserve">S. V. Putvinski, D. D. Ryutov, P. N. Yushmanov, </w:t>
      </w:r>
      <w:r>
        <w:rPr>
          <w:b w:val="0"/>
          <w:i/>
          <w:sz w:val="20"/>
        </w:rPr>
        <w:t>Nucl. Fusion</w:t>
      </w:r>
      <w:r>
        <w:rPr>
          <w:b w:val="0"/>
          <w:i w:val="0"/>
          <w:sz w:val="20"/>
        </w:rPr>
        <w:t xml:space="preserve"> </w:t>
      </w:r>
      <w:r>
        <w:rPr>
          <w:b/>
          <w:i w:val="0"/>
          <w:sz w:val="20"/>
        </w:rPr>
        <w:t>59</w:t>
      </w:r>
      <w:r>
        <w:rPr>
          <w:b w:val="0"/>
          <w:i w:val="0"/>
          <w:sz w:val="20"/>
        </w:rPr>
        <w:t>, 076018 (2019).</w:t>
      </w:r>
    </w:p>
    <w:p>
      <w:pPr>
        <w:spacing w:after="40"/>
        <w:ind w:left="432" w:hanging="432"/>
      </w:pPr>
      <w:r>
        <w:rPr>
          <w:b w:val="0"/>
          <w:i w:val="0"/>
          <w:sz w:val="20"/>
        </w:rPr>
        <w:t xml:space="preserve">2. </w:t>
      </w:r>
      <w:r>
        <w:rPr>
          <w:b w:val="0"/>
          <w:i w:val="0"/>
          <w:sz w:val="20"/>
        </w:rPr>
        <w:t xml:space="preserve">A. Tentori, F. Belloni, </w:t>
      </w:r>
      <w:r>
        <w:rPr>
          <w:b w:val="0"/>
          <w:i/>
          <w:sz w:val="20"/>
        </w:rPr>
        <w:t>Nucl. Fusion</w:t>
      </w:r>
      <w:r>
        <w:rPr>
          <w:b w:val="0"/>
          <w:i w:val="0"/>
          <w:sz w:val="20"/>
        </w:rPr>
        <w:t xml:space="preserve"> </w:t>
      </w:r>
      <w:r>
        <w:rPr>
          <w:b/>
          <w:i w:val="0"/>
          <w:sz w:val="20"/>
        </w:rPr>
        <w:t>63</w:t>
      </w:r>
      <w:r>
        <w:rPr>
          <w:b w:val="0"/>
          <w:i w:val="0"/>
          <w:sz w:val="20"/>
        </w:rPr>
        <w:t>, 086001 (2023).</w:t>
      </w:r>
    </w:p>
    <w:p>
      <w:pPr>
        <w:spacing w:after="40"/>
        <w:ind w:left="432" w:hanging="432"/>
      </w:pPr>
      <w:r>
        <w:rPr>
          <w:b w:val="0"/>
          <w:i w:val="0"/>
          <w:sz w:val="20"/>
        </w:rPr>
        <w:t xml:space="preserve">3. </w:t>
      </w:r>
      <w:r>
        <w:rPr>
          <w:b w:val="0"/>
          <w:i w:val="0"/>
          <w:sz w:val="20"/>
        </w:rPr>
        <w:t xml:space="preserve">H.-Y. Wang, Y.-Q. Li, Q. Wu, Z.-F. Cui, </w:t>
      </w:r>
      <w:r>
        <w:rPr>
          <w:b w:val="0"/>
          <w:i/>
          <w:sz w:val="20"/>
        </w:rPr>
        <w:t>Revisiting p-11B Fusion: Updated Cross-sections, Reactivity, and Energy Balance</w:t>
      </w:r>
      <w:r>
        <w:rPr>
          <w:b w:val="0"/>
          <w:i w:val="0"/>
          <w:sz w:val="20"/>
        </w:rPr>
        <w:t>, arXiv:2601.00241 (2026).</w:t>
      </w:r>
    </w:p>
    <w:p>
      <w:pPr>
        <w:spacing w:after="40"/>
        <w:ind w:left="432" w:hanging="432"/>
      </w:pPr>
      <w:r>
        <w:rPr>
          <w:b w:val="0"/>
          <w:i w:val="0"/>
          <w:sz w:val="20"/>
        </w:rPr>
        <w:t xml:space="preserve">4. </w:t>
      </w:r>
      <w:r>
        <w:rPr>
          <w:b w:val="0"/>
          <w:i w:val="0"/>
          <w:sz w:val="20"/>
        </w:rPr>
        <w:t xml:space="preserve">W. M. Nevins, R. Swain, </w:t>
      </w:r>
      <w:r>
        <w:rPr>
          <w:b w:val="0"/>
          <w:i/>
          <w:sz w:val="20"/>
        </w:rPr>
        <w:t>Nucl. Fusion</w:t>
      </w:r>
      <w:r>
        <w:rPr>
          <w:b w:val="0"/>
          <w:i w:val="0"/>
          <w:sz w:val="20"/>
        </w:rPr>
        <w:t xml:space="preserve"> </w:t>
      </w:r>
      <w:r>
        <w:rPr>
          <w:b/>
          <w:i w:val="0"/>
          <w:sz w:val="20"/>
        </w:rPr>
        <w:t>40</w:t>
      </w:r>
      <w:r>
        <w:rPr>
          <w:b w:val="0"/>
          <w:i w:val="0"/>
          <w:sz w:val="20"/>
        </w:rPr>
        <w:t>, 865 (2000).</w:t>
      </w:r>
    </w:p>
    <w:p>
      <w:pPr>
        <w:spacing w:after="40"/>
        <w:ind w:left="432" w:hanging="432"/>
      </w:pPr>
      <w:r>
        <w:rPr>
          <w:b w:val="0"/>
          <w:i w:val="0"/>
          <w:sz w:val="20"/>
        </w:rPr>
        <w:t xml:space="preserve">5. </w:t>
      </w:r>
      <w:r>
        <w:rPr>
          <w:b w:val="0"/>
          <w:i w:val="0"/>
          <w:sz w:val="20"/>
        </w:rPr>
        <w:t xml:space="preserve">F. Belloni, </w:t>
      </w:r>
      <w:r>
        <w:rPr>
          <w:b w:val="0"/>
          <w:i/>
          <w:sz w:val="20"/>
        </w:rPr>
        <w:t>Plasma Phys. Control. Fusion</w:t>
      </w:r>
      <w:r>
        <w:rPr>
          <w:b w:val="0"/>
          <w:i w:val="0"/>
          <w:sz w:val="20"/>
        </w:rPr>
        <w:t xml:space="preserve"> </w:t>
      </w:r>
      <w:r>
        <w:rPr>
          <w:b/>
          <w:i w:val="0"/>
          <w:sz w:val="20"/>
        </w:rPr>
        <w:t>63</w:t>
      </w:r>
      <w:r>
        <w:rPr>
          <w:b w:val="0"/>
          <w:i w:val="0"/>
          <w:sz w:val="20"/>
        </w:rPr>
        <w:t>, 055020 (2021).</w:t>
      </w:r>
    </w:p>
    <w:p>
      <w:pPr>
        <w:spacing w:after="40"/>
        <w:ind w:left="432" w:hanging="432"/>
      </w:pPr>
      <w:r>
        <w:rPr>
          <w:b w:val="0"/>
          <w:i w:val="0"/>
          <w:sz w:val="20"/>
        </w:rPr>
        <w:t xml:space="preserve">6. </w:t>
      </w:r>
      <w:r>
        <w:rPr>
          <w:b w:val="0"/>
          <w:i w:val="0"/>
          <w:sz w:val="20"/>
        </w:rPr>
        <w:t xml:space="preserve">I. E. Ochs, E. J. Kolmes, M. E. Mlodik, T. Rubin, N. J. Fisch, </w:t>
      </w:r>
      <w:r>
        <w:rPr>
          <w:b w:val="0"/>
          <w:i/>
          <w:sz w:val="20"/>
        </w:rPr>
        <w:t>Phys. Rev. E</w:t>
      </w:r>
      <w:r>
        <w:rPr>
          <w:b w:val="0"/>
          <w:i w:val="0"/>
          <w:sz w:val="20"/>
        </w:rPr>
        <w:t xml:space="preserve"> </w:t>
      </w:r>
      <w:r>
        <w:rPr>
          <w:b/>
          <w:i w:val="0"/>
          <w:sz w:val="20"/>
        </w:rPr>
        <w:t>106</w:t>
      </w:r>
      <w:r>
        <w:rPr>
          <w:b w:val="0"/>
          <w:i w:val="0"/>
          <w:sz w:val="20"/>
        </w:rPr>
        <w:t>, 055215 (2022), arXiv:2210.08076.</w:t>
      </w:r>
    </w:p>
    <w:p>
      <w:pPr>
        <w:spacing w:after="40"/>
        <w:ind w:left="432" w:hanging="432"/>
      </w:pPr>
      <w:r>
        <w:rPr>
          <w:b w:val="0"/>
          <w:i w:val="0"/>
          <w:sz w:val="20"/>
        </w:rPr>
        <w:t xml:space="preserve">7. </w:t>
      </w:r>
      <w:r>
        <w:rPr>
          <w:b w:val="0"/>
          <w:i w:val="0"/>
          <w:sz w:val="20"/>
        </w:rPr>
        <w:t xml:space="preserve">T. H. Rider, </w:t>
      </w:r>
      <w:r>
        <w:rPr>
          <w:b w:val="0"/>
          <w:i/>
          <w:sz w:val="20"/>
        </w:rPr>
        <w:t>Phys. Plasmas</w:t>
      </w:r>
      <w:r>
        <w:rPr>
          <w:b w:val="0"/>
          <w:i w:val="0"/>
          <w:sz w:val="20"/>
        </w:rPr>
        <w:t xml:space="preserve"> </w:t>
      </w:r>
      <w:r>
        <w:rPr>
          <w:b/>
          <w:i w:val="0"/>
          <w:sz w:val="20"/>
        </w:rPr>
        <w:t>2</w:t>
      </w:r>
      <w:r>
        <w:rPr>
          <w:b w:val="0"/>
          <w:i w:val="0"/>
          <w:sz w:val="20"/>
        </w:rPr>
        <w:t xml:space="preserve">, 1853 (1995); </w:t>
      </w:r>
      <w:r>
        <w:rPr>
          <w:b/>
          <w:i w:val="0"/>
          <w:sz w:val="20"/>
        </w:rPr>
        <w:t>4</w:t>
      </w:r>
      <w:r>
        <w:rPr>
          <w:b w:val="0"/>
          <w:i w:val="0"/>
          <w:sz w:val="20"/>
        </w:rPr>
        <w:t>, 1039 (1997).</w:t>
      </w:r>
    </w:p>
    <w:p>
      <w:pPr>
        <w:spacing w:after="40"/>
        <w:ind w:left="432" w:hanging="432"/>
      </w:pPr>
      <w:r>
        <w:rPr>
          <w:b w:val="0"/>
          <w:i w:val="0"/>
          <w:sz w:val="20"/>
        </w:rPr>
        <w:t xml:space="preserve">8. </w:t>
      </w:r>
      <w:r>
        <w:rPr>
          <w:b w:val="0"/>
          <w:i w:val="0"/>
          <w:sz w:val="20"/>
        </w:rPr>
        <w:t xml:space="preserve">J. D. Huba, </w:t>
      </w:r>
      <w:r>
        <w:rPr>
          <w:b w:val="0"/>
          <w:i/>
          <w:sz w:val="20"/>
        </w:rPr>
        <w:t>NRL Plasma Formulary</w:t>
      </w:r>
      <w:r>
        <w:rPr>
          <w:b w:val="0"/>
          <w:i w:val="0"/>
          <w:sz w:val="20"/>
        </w:rPr>
        <w:t>, Naval Research Laboratory (Washington, DC) (ion–electron energy equilibration rate; Coulomb logarithm; classical bremsstrahlung coefficient).</w:t>
      </w:r>
    </w:p>
    <w:p>
      <w:pPr>
        <w:spacing w:after="40"/>
        <w:ind w:left="432" w:hanging="432"/>
      </w:pPr>
      <w:r>
        <w:rPr>
          <w:b w:val="0"/>
          <w:i w:val="0"/>
          <w:sz w:val="20"/>
        </w:rPr>
        <w:t xml:space="preserve">9. </w:t>
      </w:r>
      <w:r>
        <w:rPr>
          <w:b w:val="0"/>
          <w:i w:val="0"/>
          <w:sz w:val="20"/>
        </w:rPr>
        <w:t xml:space="preserve">R. Svensson, </w:t>
      </w:r>
      <w:r>
        <w:rPr>
          <w:b w:val="0"/>
          <w:i/>
          <w:sz w:val="20"/>
        </w:rPr>
        <w:t>Astrophys. J.</w:t>
      </w:r>
      <w:r>
        <w:rPr>
          <w:b w:val="0"/>
          <w:i w:val="0"/>
          <w:sz w:val="20"/>
        </w:rPr>
        <w:t xml:space="preserve"> </w:t>
      </w:r>
      <w:r>
        <w:rPr>
          <w:b/>
          <w:i w:val="0"/>
          <w:sz w:val="20"/>
        </w:rPr>
        <w:t>258</w:t>
      </w:r>
      <w:r>
        <w:rPr>
          <w:b w:val="0"/>
          <w:i w:val="0"/>
          <w:sz w:val="20"/>
        </w:rPr>
        <w:t xml:space="preserve">, 335 (1982) (relativistic bremsstrahlung correction); H. Xie, </w:t>
      </w:r>
      <w:r>
        <w:rPr>
          <w:b w:val="0"/>
          <w:i/>
          <w:sz w:val="20"/>
        </w:rPr>
        <w:t>Plasma Phys. Control. Fusion</w:t>
      </w:r>
      <w:r>
        <w:rPr>
          <w:b w:val="0"/>
          <w:i w:val="0"/>
          <w:sz w:val="20"/>
        </w:rPr>
        <w:t xml:space="preserve"> </w:t>
      </w:r>
      <w:r>
        <w:rPr>
          <w:b/>
          <w:i w:val="0"/>
          <w:sz w:val="20"/>
        </w:rPr>
        <w:t>66</w:t>
      </w:r>
      <w:r>
        <w:rPr>
          <w:b w:val="0"/>
          <w:i w:val="0"/>
          <w:sz w:val="20"/>
        </w:rPr>
        <w:t>, 125005 (2024), DOI 10.1088/1361-6587/ad877f, arXiv:2404.11540 (recent analytical e–i/e–e bremsstrahlung fitting, used as an independent cross-check).</w:t>
      </w:r>
    </w:p>
    <w:p>
      <w:pPr>
        <w:spacing w:after="40"/>
        <w:ind w:left="432" w:hanging="432"/>
      </w:pPr>
      <w:r>
        <w:rPr>
          <w:b w:val="0"/>
          <w:i w:val="0"/>
          <w:sz w:val="20"/>
        </w:rPr>
        <w:t xml:space="preserve">10. </w:t>
      </w:r>
      <w:r>
        <w:rPr>
          <w:b w:val="0"/>
          <w:i w:val="0"/>
          <w:sz w:val="20"/>
        </w:rPr>
        <w:t xml:space="preserve">M. Stave et al., </w:t>
      </w:r>
      <w:r>
        <w:rPr>
          <w:b w:val="0"/>
          <w:i/>
          <w:sz w:val="20"/>
        </w:rPr>
        <w:t>Phys. Lett. B</w:t>
      </w:r>
      <w:r>
        <w:rPr>
          <w:b w:val="0"/>
          <w:i w:val="0"/>
          <w:sz w:val="20"/>
        </w:rPr>
        <w:t xml:space="preserve"> </w:t>
      </w:r>
      <w:r>
        <w:rPr>
          <w:b/>
          <w:i w:val="0"/>
          <w:sz w:val="20"/>
        </w:rPr>
        <w:t>696</w:t>
      </w:r>
      <w:r>
        <w:rPr>
          <w:b w:val="0"/>
          <w:i w:val="0"/>
          <w:sz w:val="20"/>
        </w:rPr>
        <w:t>, 26 (2011).</w:t>
      </w:r>
    </w:p>
    <w:p>
      <w:pPr>
        <w:spacing w:after="40"/>
        <w:ind w:left="432" w:hanging="432"/>
      </w:pPr>
      <w:r>
        <w:rPr>
          <w:b w:val="0"/>
          <w:i w:val="0"/>
          <w:sz w:val="20"/>
        </w:rPr>
        <w:t xml:space="preserve">11. </w:t>
      </w:r>
      <w:r>
        <w:rPr>
          <w:b w:val="0"/>
          <w:i w:val="0"/>
          <w:sz w:val="20"/>
        </w:rPr>
        <w:t xml:space="preserve">S. D. Baalrud, </w:t>
      </w:r>
      <w:r>
        <w:rPr>
          <w:b w:val="0"/>
          <w:i/>
          <w:sz w:val="20"/>
        </w:rPr>
        <w:t>Phys. Plasmas</w:t>
      </w:r>
      <w:r>
        <w:rPr>
          <w:b w:val="0"/>
          <w:i w:val="0"/>
          <w:sz w:val="20"/>
        </w:rPr>
        <w:t xml:space="preserve"> </w:t>
      </w:r>
      <w:r>
        <w:rPr>
          <w:b/>
          <w:i w:val="0"/>
          <w:sz w:val="20"/>
        </w:rPr>
        <w:t>32</w:t>
      </w:r>
      <w:r>
        <w:rPr>
          <w:b w:val="0"/>
          <w:i w:val="0"/>
          <w:sz w:val="20"/>
        </w:rPr>
        <w:t xml:space="preserve">, 102709 (2025), DOI 10.1063/5.0292235; I. E. Ochs et al., </w:t>
      </w:r>
      <w:r>
        <w:rPr>
          <w:b w:val="0"/>
          <w:i/>
          <w:sz w:val="20"/>
        </w:rPr>
        <w:t>Phys. Plasmas</w:t>
      </w:r>
      <w:r>
        <w:rPr>
          <w:b w:val="0"/>
          <w:i w:val="0"/>
          <w:sz w:val="20"/>
        </w:rPr>
        <w:t xml:space="preserve"> </w:t>
      </w:r>
      <w:r>
        <w:rPr>
          <w:b/>
          <w:i w:val="0"/>
          <w:sz w:val="20"/>
        </w:rPr>
        <w:t>33</w:t>
      </w:r>
      <w:r>
        <w:rPr>
          <w:b w:val="0"/>
          <w:i w:val="0"/>
          <w:sz w:val="20"/>
        </w:rPr>
        <w:t xml:space="preserve">, 012703 (2026) (bremsstrahlung constraints on p-11B IFE); I. Morozov, T. A. Mehlhorn, et al., </w:t>
      </w:r>
      <w:r>
        <w:rPr>
          <w:b w:val="0"/>
          <w:i/>
          <w:sz w:val="20"/>
        </w:rPr>
        <w:t>Phys. Plasmas</w:t>
      </w:r>
      <w:r>
        <w:rPr>
          <w:b w:val="0"/>
          <w:i w:val="0"/>
          <w:sz w:val="20"/>
        </w:rPr>
        <w:t xml:space="preserve"> </w:t>
      </w:r>
      <w:r>
        <w:rPr>
          <w:b/>
          <w:i w:val="0"/>
          <w:sz w:val="20"/>
        </w:rPr>
        <w:t>33</w:t>
      </w:r>
      <w:r>
        <w:rPr>
          <w:b w:val="0"/>
          <w:i w:val="0"/>
          <w:sz w:val="20"/>
        </w:rPr>
        <w:t>, 042705 (2026), DOI 10.1063/5.0322446.</w:t>
      </w:r>
    </w:p>
    <w:p>
      <w:pPr>
        <w:spacing w:after="40"/>
        <w:ind w:left="432" w:hanging="432"/>
      </w:pPr>
      <w:r>
        <w:rPr>
          <w:b w:val="0"/>
          <w:i w:val="0"/>
          <w:sz w:val="20"/>
        </w:rPr>
        <w:t xml:space="preserve">12. </w:t>
      </w:r>
      <w:r>
        <w:rPr>
          <w:b w:val="0"/>
          <w:i/>
          <w:sz w:val="20"/>
        </w:rPr>
        <w:t>Evaluation of the Lawson criterion for aneutronic proton–boron-11 fusion</w:t>
      </w:r>
      <w:r>
        <w:rPr>
          <w:b w:val="0"/>
          <w:i w:val="0"/>
          <w:sz w:val="20"/>
        </w:rPr>
        <w:t>, Frontiers Nucl. Eng. (2026), doi:10.3389/fnuen.2026.1714531.</w:t>
      </w:r>
    </w:p>
    <w:p>
      <w:pPr>
        <w:keepNext/>
        <w:spacing w:before="280" w:after="120"/>
      </w:pPr>
      <w:r>
        <w:rPr>
          <w:b/>
          <w:color w:val="1A1A1A"/>
          <w:sz w:val="28"/>
        </w:rPr>
        <w:t>Tables</w:t>
      </w:r>
    </w:p>
    <w:p>
      <w:pPr>
        <w:keepNext/>
        <w:spacing w:before="200" w:after="80"/>
      </w:pPr>
      <w:r>
        <w:rPr>
          <w:b/>
          <w:color w:val="1A1A1A"/>
          <w:sz w:val="24"/>
        </w:rPr>
        <w:t>Table 1 — Maxwellian reactivity ⟨σv⟩(T) (10⁻¹⁶ cm³/s), identical integrator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5F1"/>
          </w:tcPr>
          <w:p>
            <w:pPr>
              <w:jc w:val="right"/>
            </w:pPr>
            <w:r>
              <w:rPr>
                <w:b/>
                <w:i w:val="0"/>
                <w:sz w:val="20"/>
              </w:rPr>
              <w:t>T (keV)</w:t>
            </w:r>
          </w:p>
        </w:tc>
        <w:tc>
          <w:tcPr>
            <w:tcW w:type="dxa" w:w="1560"/>
            <w:shd w:val="clear" w:color="auto" w:fill="D9E5F1"/>
          </w:tcPr>
          <w:p>
            <w:pPr>
              <w:jc w:val="right"/>
            </w:pPr>
            <w:r>
              <w:rPr>
                <w:b/>
                <w:i w:val="0"/>
                <w:sz w:val="20"/>
              </w:rPr>
              <w:t>TB 2023</w:t>
            </w:r>
          </w:p>
        </w:tc>
        <w:tc>
          <w:tcPr>
            <w:tcW w:type="dxa" w:w="1560"/>
            <w:shd w:val="clear" w:color="auto" w:fill="D9E5F1"/>
          </w:tcPr>
          <w:p>
            <w:pPr>
              <w:jc w:val="right"/>
            </w:pPr>
            <w:r>
              <w:rPr>
                <w:b/>
                <w:i w:val="0"/>
                <w:sz w:val="20"/>
              </w:rPr>
              <w:t>Wang 2026</w:t>
            </w:r>
          </w:p>
        </w:tc>
        <w:tc>
          <w:tcPr>
            <w:tcW w:type="dxa" w:w="1560"/>
            <w:shd w:val="clear" w:color="auto" w:fill="D9E5F1"/>
          </w:tcPr>
          <w:p>
            <w:pPr>
              <w:jc w:val="right"/>
            </w:pPr>
            <w:r>
              <w:rPr>
                <w:b/>
                <w:i w:val="0"/>
                <w:sz w:val="20"/>
              </w:rPr>
              <w:t>NS 2000</w:t>
            </w:r>
          </w:p>
        </w:tc>
        <w:tc>
          <w:tcPr>
            <w:tcW w:type="dxa" w:w="1560"/>
            <w:shd w:val="clear" w:color="auto" w:fill="D9E5F1"/>
          </w:tcPr>
          <w:p>
            <w:pPr>
              <w:jc w:val="right"/>
            </w:pPr>
            <w:r>
              <w:rPr>
                <w:b/>
                <w:i w:val="0"/>
                <w:sz w:val="20"/>
              </w:rPr>
              <w:t>TB/Wang</w:t>
            </w:r>
          </w:p>
        </w:tc>
        <w:tc>
          <w:tcPr>
            <w:tcW w:type="dxa" w:w="1560"/>
            <w:shd w:val="clear" w:color="auto" w:fill="D9E5F1"/>
          </w:tcPr>
          <w:p>
            <w:pPr>
              <w:jc w:val="right"/>
            </w:pPr>
            <w:r>
              <w:rPr>
                <w:b/>
                <w:i w:val="0"/>
                <w:sz w:val="20"/>
              </w:rPr>
              <w:t>TB/NS</w:t>
            </w:r>
          </w:p>
        </w:tc>
      </w:tr>
      <w:tr>
        <w:tc>
          <w:tcPr>
            <w:tcW w:type="dxa" w:w="1560"/>
          </w:tcPr>
          <w:p>
            <w:pPr>
              <w:jc w:val="right"/>
            </w:pPr>
            <w:r>
              <w:rPr>
                <w:b w:val="0"/>
                <w:i w:val="0"/>
                <w:sz w:val="20"/>
              </w:rPr>
              <w:t>100</w:t>
            </w:r>
          </w:p>
        </w:tc>
        <w:tc>
          <w:tcPr>
            <w:tcW w:type="dxa" w:w="1560"/>
          </w:tcPr>
          <w:p>
            <w:pPr>
              <w:jc w:val="right"/>
            </w:pPr>
            <w:r>
              <w:rPr>
                <w:b w:val="0"/>
                <w:i w:val="0"/>
                <w:sz w:val="20"/>
              </w:rPr>
              <w:t>0.704</w:t>
            </w:r>
          </w:p>
        </w:tc>
        <w:tc>
          <w:tcPr>
            <w:tcW w:type="dxa" w:w="1560"/>
          </w:tcPr>
          <w:p>
            <w:pPr>
              <w:jc w:val="right"/>
            </w:pPr>
            <w:r>
              <w:rPr>
                <w:b w:val="0"/>
                <w:i w:val="0"/>
                <w:sz w:val="20"/>
              </w:rPr>
              <w:t>0.628</w:t>
            </w:r>
          </w:p>
        </w:tc>
        <w:tc>
          <w:tcPr>
            <w:tcW w:type="dxa" w:w="1560"/>
          </w:tcPr>
          <w:p>
            <w:pPr>
              <w:jc w:val="right"/>
            </w:pPr>
            <w:r>
              <w:rPr>
                <w:b w:val="0"/>
                <w:i w:val="0"/>
                <w:sz w:val="20"/>
              </w:rPr>
              <w:t>0.630</w:t>
            </w:r>
          </w:p>
        </w:tc>
        <w:tc>
          <w:tcPr>
            <w:tcW w:type="dxa" w:w="1560"/>
          </w:tcPr>
          <w:p>
            <w:pPr>
              <w:jc w:val="right"/>
            </w:pPr>
            <w:r>
              <w:rPr>
                <w:b w:val="0"/>
                <w:i w:val="0"/>
                <w:sz w:val="20"/>
              </w:rPr>
              <w:t>1.121</w:t>
            </w:r>
          </w:p>
        </w:tc>
        <w:tc>
          <w:tcPr>
            <w:tcW w:type="dxa" w:w="1560"/>
          </w:tcPr>
          <w:p>
            <w:pPr>
              <w:jc w:val="right"/>
            </w:pPr>
            <w:r>
              <w:rPr>
                <w:b w:val="0"/>
                <w:i w:val="0"/>
                <w:sz w:val="20"/>
              </w:rPr>
              <w:t>1.117</w:t>
            </w:r>
          </w:p>
        </w:tc>
      </w:tr>
      <w:tr>
        <w:tc>
          <w:tcPr>
            <w:tcW w:type="dxa" w:w="1560"/>
          </w:tcPr>
          <w:p>
            <w:pPr>
              <w:jc w:val="right"/>
            </w:pPr>
            <w:r>
              <w:rPr>
                <w:b w:val="0"/>
                <w:i w:val="0"/>
                <w:sz w:val="20"/>
              </w:rPr>
              <w:t>200</w:t>
            </w:r>
          </w:p>
        </w:tc>
        <w:tc>
          <w:tcPr>
            <w:tcW w:type="dxa" w:w="1560"/>
          </w:tcPr>
          <w:p>
            <w:pPr>
              <w:jc w:val="right"/>
            </w:pPr>
            <w:r>
              <w:rPr>
                <w:b w:val="0"/>
                <w:i w:val="0"/>
                <w:sz w:val="20"/>
              </w:rPr>
              <w:t>2.948</w:t>
            </w:r>
          </w:p>
        </w:tc>
        <w:tc>
          <w:tcPr>
            <w:tcW w:type="dxa" w:w="1560"/>
          </w:tcPr>
          <w:p>
            <w:pPr>
              <w:jc w:val="right"/>
            </w:pPr>
            <w:r>
              <w:rPr>
                <w:b w:val="0"/>
                <w:i w:val="0"/>
                <w:sz w:val="20"/>
              </w:rPr>
              <w:t>2.476</w:t>
            </w:r>
          </w:p>
        </w:tc>
        <w:tc>
          <w:tcPr>
            <w:tcW w:type="dxa" w:w="1560"/>
          </w:tcPr>
          <w:p>
            <w:pPr>
              <w:jc w:val="right"/>
            </w:pPr>
            <w:r>
              <w:rPr>
                <w:b w:val="0"/>
                <w:i w:val="0"/>
                <w:sz w:val="20"/>
              </w:rPr>
              <w:t>2.471</w:t>
            </w:r>
          </w:p>
        </w:tc>
        <w:tc>
          <w:tcPr>
            <w:tcW w:type="dxa" w:w="1560"/>
          </w:tcPr>
          <w:p>
            <w:pPr>
              <w:jc w:val="right"/>
            </w:pPr>
            <w:r>
              <w:rPr>
                <w:b w:val="0"/>
                <w:i w:val="0"/>
                <w:sz w:val="20"/>
              </w:rPr>
              <w:t>1.190</w:t>
            </w:r>
          </w:p>
        </w:tc>
        <w:tc>
          <w:tcPr>
            <w:tcW w:type="dxa" w:w="1560"/>
          </w:tcPr>
          <w:p>
            <w:pPr>
              <w:jc w:val="right"/>
            </w:pPr>
            <w:r>
              <w:rPr>
                <w:b w:val="0"/>
                <w:i w:val="0"/>
                <w:sz w:val="20"/>
              </w:rPr>
              <w:t>1.193</w:t>
            </w:r>
          </w:p>
        </w:tc>
      </w:tr>
      <w:tr>
        <w:tc>
          <w:tcPr>
            <w:tcW w:type="dxa" w:w="1560"/>
          </w:tcPr>
          <w:p>
            <w:pPr>
              <w:jc w:val="right"/>
            </w:pPr>
            <w:r>
              <w:rPr>
                <w:b w:val="0"/>
                <w:i w:val="0"/>
                <w:sz w:val="20"/>
              </w:rPr>
              <w:t>300</w:t>
            </w:r>
          </w:p>
        </w:tc>
        <w:tc>
          <w:tcPr>
            <w:tcW w:type="dxa" w:w="1560"/>
          </w:tcPr>
          <w:p>
            <w:pPr>
              <w:jc w:val="right"/>
            </w:pPr>
            <w:r>
              <w:rPr>
                <w:b w:val="0"/>
                <w:i w:val="0"/>
                <w:sz w:val="20"/>
              </w:rPr>
              <w:t>4.374</w:t>
            </w:r>
          </w:p>
        </w:tc>
        <w:tc>
          <w:tcPr>
            <w:tcW w:type="dxa" w:w="1560"/>
          </w:tcPr>
          <w:p>
            <w:pPr>
              <w:jc w:val="right"/>
            </w:pPr>
            <w:r>
              <w:rPr>
                <w:b w:val="0"/>
                <w:i w:val="0"/>
                <w:sz w:val="20"/>
              </w:rPr>
              <w:t>3.628</w:t>
            </w:r>
          </w:p>
        </w:tc>
        <w:tc>
          <w:tcPr>
            <w:tcW w:type="dxa" w:w="1560"/>
          </w:tcPr>
          <w:p>
            <w:pPr>
              <w:jc w:val="right"/>
            </w:pPr>
            <w:r>
              <w:rPr>
                <w:b w:val="0"/>
                <w:i w:val="0"/>
                <w:sz w:val="20"/>
              </w:rPr>
              <w:t>3.516</w:t>
            </w:r>
          </w:p>
        </w:tc>
        <w:tc>
          <w:tcPr>
            <w:tcW w:type="dxa" w:w="1560"/>
          </w:tcPr>
          <w:p>
            <w:pPr>
              <w:jc w:val="right"/>
            </w:pPr>
            <w:r>
              <w:rPr>
                <w:b w:val="0"/>
                <w:i w:val="0"/>
                <w:sz w:val="20"/>
              </w:rPr>
              <w:t>1.206</w:t>
            </w:r>
          </w:p>
        </w:tc>
        <w:tc>
          <w:tcPr>
            <w:tcW w:type="dxa" w:w="1560"/>
          </w:tcPr>
          <w:p>
            <w:pPr>
              <w:jc w:val="right"/>
            </w:pPr>
            <w:r>
              <w:rPr>
                <w:b w:val="0"/>
                <w:i w:val="0"/>
                <w:sz w:val="20"/>
              </w:rPr>
              <w:t>1.244</w:t>
            </w:r>
          </w:p>
        </w:tc>
      </w:tr>
      <w:tr>
        <w:tc>
          <w:tcPr>
            <w:tcW w:type="dxa" w:w="1560"/>
          </w:tcPr>
          <w:p>
            <w:pPr>
              <w:jc w:val="right"/>
            </w:pPr>
            <w:r>
              <w:rPr>
                <w:b w:val="0"/>
                <w:i w:val="0"/>
                <w:sz w:val="20"/>
              </w:rPr>
              <w:t>400</w:t>
            </w:r>
          </w:p>
        </w:tc>
        <w:tc>
          <w:tcPr>
            <w:tcW w:type="dxa" w:w="1560"/>
          </w:tcPr>
          <w:p>
            <w:pPr>
              <w:jc w:val="right"/>
            </w:pPr>
            <w:r>
              <w:rPr>
                <w:b w:val="0"/>
                <w:i w:val="0"/>
                <w:sz w:val="20"/>
              </w:rPr>
              <w:t>5.132</w:t>
            </w:r>
          </w:p>
        </w:tc>
        <w:tc>
          <w:tcPr>
            <w:tcW w:type="dxa" w:w="1560"/>
          </w:tcPr>
          <w:p>
            <w:pPr>
              <w:jc w:val="right"/>
            </w:pPr>
            <w:r>
              <w:rPr>
                <w:b w:val="0"/>
                <w:i w:val="0"/>
                <w:sz w:val="20"/>
              </w:rPr>
              <w:t>4.274</w:t>
            </w:r>
          </w:p>
        </w:tc>
        <w:tc>
          <w:tcPr>
            <w:tcW w:type="dxa" w:w="1560"/>
          </w:tcPr>
          <w:p>
            <w:pPr>
              <w:jc w:val="right"/>
            </w:pPr>
            <w:r>
              <w:rPr>
                <w:b w:val="0"/>
                <w:i w:val="0"/>
                <w:sz w:val="20"/>
              </w:rPr>
              <w:t>3.941</w:t>
            </w:r>
          </w:p>
        </w:tc>
        <w:tc>
          <w:tcPr>
            <w:tcW w:type="dxa" w:w="1560"/>
          </w:tcPr>
          <w:p>
            <w:pPr>
              <w:jc w:val="right"/>
            </w:pPr>
            <w:r>
              <w:rPr>
                <w:b w:val="0"/>
                <w:i w:val="0"/>
                <w:sz w:val="20"/>
              </w:rPr>
              <w:t>1.201</w:t>
            </w:r>
          </w:p>
        </w:tc>
        <w:tc>
          <w:tcPr>
            <w:tcW w:type="dxa" w:w="1560"/>
          </w:tcPr>
          <w:p>
            <w:pPr>
              <w:jc w:val="right"/>
            </w:pPr>
            <w:r>
              <w:rPr>
                <w:b w:val="0"/>
                <w:i w:val="0"/>
                <w:sz w:val="20"/>
              </w:rPr>
              <w:t>1.302</w:t>
            </w:r>
          </w:p>
        </w:tc>
      </w:tr>
      <w:tr>
        <w:tc>
          <w:tcPr>
            <w:tcW w:type="dxa" w:w="1560"/>
          </w:tcPr>
          <w:p>
            <w:pPr>
              <w:jc w:val="right"/>
            </w:pPr>
            <w:r>
              <w:rPr>
                <w:b w:val="0"/>
                <w:i w:val="0"/>
                <w:sz w:val="20"/>
              </w:rPr>
              <w:t>500</w:t>
            </w:r>
          </w:p>
        </w:tc>
        <w:tc>
          <w:tcPr>
            <w:tcW w:type="dxa" w:w="1560"/>
          </w:tcPr>
          <w:p>
            <w:pPr>
              <w:jc w:val="right"/>
            </w:pPr>
            <w:r>
              <w:rPr>
                <w:b w:val="0"/>
                <w:i w:val="0"/>
                <w:sz w:val="20"/>
              </w:rPr>
              <w:t>5.604</w:t>
            </w:r>
          </w:p>
        </w:tc>
        <w:tc>
          <w:tcPr>
            <w:tcW w:type="dxa" w:w="1560"/>
          </w:tcPr>
          <w:p>
            <w:pPr>
              <w:jc w:val="right"/>
            </w:pPr>
            <w:r>
              <w:rPr>
                <w:b w:val="0"/>
                <w:i w:val="0"/>
                <w:sz w:val="20"/>
              </w:rPr>
              <w:t>4.724</w:t>
            </w:r>
          </w:p>
        </w:tc>
        <w:tc>
          <w:tcPr>
            <w:tcW w:type="dxa" w:w="1560"/>
          </w:tcPr>
          <w:p>
            <w:pPr>
              <w:jc w:val="right"/>
            </w:pPr>
            <w:r>
              <w:rPr>
                <w:b w:val="0"/>
                <w:i w:val="0"/>
                <w:sz w:val="20"/>
              </w:rPr>
              <w:t>4.084</w:t>
            </w:r>
          </w:p>
        </w:tc>
        <w:tc>
          <w:tcPr>
            <w:tcW w:type="dxa" w:w="1560"/>
          </w:tcPr>
          <w:p>
            <w:pPr>
              <w:jc w:val="right"/>
            </w:pPr>
            <w:r>
              <w:rPr>
                <w:b w:val="0"/>
                <w:i w:val="0"/>
                <w:sz w:val="20"/>
              </w:rPr>
              <w:t>1.186</w:t>
            </w:r>
          </w:p>
        </w:tc>
        <w:tc>
          <w:tcPr>
            <w:tcW w:type="dxa" w:w="1560"/>
          </w:tcPr>
          <w:p>
            <w:pPr>
              <w:jc w:val="right"/>
            </w:pPr>
            <w:r>
              <w:rPr>
                <w:b w:val="0"/>
                <w:i w:val="0"/>
                <w:sz w:val="20"/>
              </w:rPr>
              <w:t>1.372</w:t>
            </w:r>
          </w:p>
        </w:tc>
      </w:tr>
      <w:tr>
        <w:tc>
          <w:tcPr>
            <w:tcW w:type="dxa" w:w="1560"/>
          </w:tcPr>
          <w:p>
            <w:pPr>
              <w:jc w:val="right"/>
            </w:pPr>
            <w:r>
              <w:rPr>
                <w:b w:val="0"/>
                <w:i w:val="0"/>
                <w:sz w:val="20"/>
              </w:rPr>
              <w:t>600</w:t>
            </w:r>
          </w:p>
        </w:tc>
        <w:tc>
          <w:tcPr>
            <w:tcW w:type="dxa" w:w="1560"/>
          </w:tcPr>
          <w:p>
            <w:pPr>
              <w:jc w:val="right"/>
            </w:pPr>
            <w:r>
              <w:rPr>
                <w:b w:val="0"/>
                <w:i w:val="0"/>
                <w:sz w:val="20"/>
              </w:rPr>
              <w:t>5.957</w:t>
            </w:r>
          </w:p>
        </w:tc>
        <w:tc>
          <w:tcPr>
            <w:tcW w:type="dxa" w:w="1560"/>
          </w:tcPr>
          <w:p>
            <w:pPr>
              <w:jc w:val="right"/>
            </w:pPr>
            <w:r>
              <w:rPr>
                <w:b w:val="0"/>
                <w:i w:val="0"/>
                <w:sz w:val="20"/>
              </w:rPr>
              <w:t>5.109</w:t>
            </w:r>
          </w:p>
        </w:tc>
        <w:tc>
          <w:tcPr>
            <w:tcW w:type="dxa" w:w="1560"/>
          </w:tcPr>
          <w:p>
            <w:pPr>
              <w:jc w:val="right"/>
            </w:pPr>
            <w:r>
              <w:rPr>
                <w:b w:val="0"/>
                <w:i w:val="0"/>
                <w:sz w:val="20"/>
              </w:rPr>
              <w:t>4.105</w:t>
            </w:r>
          </w:p>
        </w:tc>
        <w:tc>
          <w:tcPr>
            <w:tcW w:type="dxa" w:w="1560"/>
          </w:tcPr>
          <w:p>
            <w:pPr>
              <w:jc w:val="right"/>
            </w:pPr>
            <w:r>
              <w:rPr>
                <w:b w:val="0"/>
                <w:i w:val="0"/>
                <w:sz w:val="20"/>
              </w:rPr>
              <w:t>1.166</w:t>
            </w:r>
          </w:p>
        </w:tc>
        <w:tc>
          <w:tcPr>
            <w:tcW w:type="dxa" w:w="1560"/>
          </w:tcPr>
          <w:p>
            <w:pPr>
              <w:jc w:val="right"/>
            </w:pPr>
            <w:r>
              <w:rPr>
                <w:b w:val="0"/>
                <w:i w:val="0"/>
                <w:sz w:val="20"/>
              </w:rPr>
              <w:t>1.451</w:t>
            </w:r>
          </w:p>
        </w:tc>
      </w:tr>
    </w:tbl>
    <w:p>
      <w:pPr>
        <w:spacing w:after="80"/>
      </w:pPr>
    </w:p>
    <w:p>
      <w:r>
        <w:rPr>
          <w:b w:val="0"/>
          <w:i w:val="0"/>
        </w:rPr>
        <w:t xml:space="preserve">(CM-frame energy; </w:t>
      </w:r>
      <w:r>
        <w:rPr>
          <w:b w:val="0"/>
          <w:i w:val="0"/>
        </w:rPr>
        <w:t>E</w:t>
      </w:r>
      <w:r>
        <w:rPr>
          <w:b w:val="0"/>
          <w:i w:val="0"/>
          <w:vertAlign w:val="subscript"/>
        </w:rPr>
        <w:t>G</w:t>
      </w:r>
      <w:r>
        <w:rPr>
          <w:b w:val="0"/>
          <w:i w:val="0"/>
        </w:rPr>
        <w:t xml:space="preserve"> = 22.589 MeV; bare-amplitude Breit–Wigner S-factor; integration to the upper validity bound of each parameterization. Full 100–600 keV table at 50-keV resolution in the released CSV.)</w:t>
      </w:r>
    </w:p>
    <w:p>
      <w:pPr>
        <w:keepNext/>
        <w:spacing w:before="200" w:after="80"/>
      </w:pPr>
      <w:r>
        <w:rPr>
          <w:b/>
          <w:color w:val="1A1A1A"/>
          <w:sz w:val="24"/>
        </w:rPr>
        <w:t>Table 2 — Kinetic enhancement decomposition (Wang, T_i = 180 keV)</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5F1"/>
          </w:tcPr>
          <w:p>
            <w:pPr>
              <w:jc w:val="left"/>
            </w:pPr>
            <w:r>
              <w:rPr>
                <w:b/>
                <w:i w:val="0"/>
                <w:sz w:val="20"/>
              </w:rPr>
              <w:t>stage</w:t>
            </w:r>
          </w:p>
        </w:tc>
        <w:tc>
          <w:tcPr>
            <w:tcW w:type="dxa" w:w="3120"/>
            <w:shd w:val="clear" w:color="auto" w:fill="D9E5F1"/>
          </w:tcPr>
          <w:p>
            <w:pPr>
              <w:jc w:val="right"/>
            </w:pPr>
            <w:r>
              <w:rPr>
                <w:b/>
                <w:i w:val="0"/>
                <w:sz w:val="20"/>
              </w:rPr>
              <w:t>enh</w:t>
            </w:r>
          </w:p>
        </w:tc>
        <w:tc>
          <w:tcPr>
            <w:tcW w:type="dxa" w:w="3120"/>
            <w:shd w:val="clear" w:color="auto" w:fill="D9E5F1"/>
          </w:tcPr>
          <w:p>
            <w:pPr>
              <w:jc w:val="left"/>
            </w:pPr>
            <w:r>
              <w:rPr>
                <w:b/>
                <w:i w:val="0"/>
                <w:sz w:val="20"/>
              </w:rPr>
              <w:t>interpretation</w:t>
            </w:r>
          </w:p>
        </w:tc>
      </w:tr>
      <w:tr>
        <w:tc>
          <w:tcPr>
            <w:tcW w:type="dxa" w:w="3120"/>
          </w:tcPr>
          <w:p>
            <w:pPr>
              <w:jc w:val="left"/>
            </w:pPr>
            <w:r>
              <w:rPr>
                <w:b w:val="0"/>
                <w:i w:val="0"/>
                <w:sz w:val="20"/>
              </w:rPr>
              <w:t>thermal FP (no alpha)</w:t>
            </w:r>
          </w:p>
        </w:tc>
        <w:tc>
          <w:tcPr>
            <w:tcW w:type="dxa" w:w="3120"/>
          </w:tcPr>
          <w:p>
            <w:pPr>
              <w:jc w:val="right"/>
            </w:pPr>
            <w:r>
              <w:rPr>
                <w:b w:val="0"/>
                <w:i w:val="0"/>
                <w:sz w:val="20"/>
              </w:rPr>
              <w:t>0.83</w:t>
            </w:r>
          </w:p>
        </w:tc>
        <w:tc>
          <w:tcPr>
            <w:tcW w:type="dxa" w:w="3120"/>
          </w:tcPr>
          <w:p>
            <w:pPr>
              <w:jc w:val="left"/>
            </w:pPr>
            <w:r>
              <w:rPr>
                <w:b w:val="0"/>
                <w:i w:val="0"/>
                <w:sz w:val="20"/>
              </w:rPr>
              <w:t>burnout depletes the tail</w:t>
            </w:r>
          </w:p>
        </w:tc>
      </w:tr>
      <w:tr>
        <w:tc>
          <w:tcPr>
            <w:tcW w:type="dxa" w:w="3120"/>
          </w:tcPr>
          <w:p>
            <w:pPr>
              <w:jc w:val="left"/>
            </w:pPr>
            <w:r>
              <w:rPr>
                <w:b w:val="0"/>
                <w:i w:val="0"/>
                <w:sz w:val="20"/>
              </w:rPr>
              <w:t>+ Putvinski Coulomb alpha</w:t>
            </w:r>
          </w:p>
        </w:tc>
        <w:tc>
          <w:tcPr>
            <w:tcW w:type="dxa" w:w="3120"/>
          </w:tcPr>
          <w:p>
            <w:pPr>
              <w:jc w:val="right"/>
            </w:pPr>
            <w:r>
              <w:rPr>
                <w:b w:val="0"/>
                <w:i w:val="0"/>
                <w:sz w:val="20"/>
              </w:rPr>
              <w:t>1.08</w:t>
            </w:r>
          </w:p>
        </w:tc>
        <w:tc>
          <w:tcPr>
            <w:tcW w:type="dxa" w:w="3120"/>
          </w:tcPr>
          <w:p>
            <w:pPr>
              <w:jc w:val="left"/>
            </w:pPr>
            <w:r>
              <w:rPr>
                <w:b w:val="0"/>
                <w:i w:val="0"/>
                <w:sz w:val="20"/>
              </w:rPr>
              <w:t>+8% (consistent with the literature ~10%)</w:t>
            </w:r>
          </w:p>
        </w:tc>
      </w:tr>
      <w:tr>
        <w:tc>
          <w:tcPr>
            <w:tcW w:type="dxa" w:w="3120"/>
          </w:tcPr>
          <w:p>
            <w:pPr>
              <w:jc w:val="left"/>
            </w:pPr>
            <w:r>
              <w:rPr>
                <w:b w:val="0"/>
                <w:i w:val="0"/>
                <w:sz w:val="20"/>
              </w:rPr>
              <w:t>+ Belloni R-matrix</w:t>
            </w:r>
          </w:p>
        </w:tc>
        <w:tc>
          <w:tcPr>
            <w:tcW w:type="dxa" w:w="3120"/>
          </w:tcPr>
          <w:p>
            <w:pPr>
              <w:jc w:val="right"/>
            </w:pPr>
            <w:r>
              <w:rPr>
                <w:b w:val="0"/>
                <w:i w:val="0"/>
                <w:sz w:val="20"/>
              </w:rPr>
              <w:t>1.64</w:t>
            </w:r>
          </w:p>
        </w:tc>
        <w:tc>
          <w:tcPr>
            <w:tcW w:type="dxa" w:w="3120"/>
          </w:tcPr>
          <w:p>
            <w:pPr>
              <w:jc w:val="left"/>
            </w:pPr>
            <w:r>
              <w:rPr>
                <w:b w:val="0"/>
                <w:i w:val="0"/>
                <w:sz w:val="20"/>
              </w:rPr>
              <w:t>×1.5 increment from the nuclear factor</w:t>
            </w:r>
          </w:p>
        </w:tc>
      </w:tr>
    </w:tbl>
    <w:p>
      <w:pPr>
        <w:spacing w:after="80"/>
      </w:pPr>
    </w:p>
    <w:p>
      <w:r>
        <w:rPr>
          <w:b w:val="0"/>
          <w:i w:val="0"/>
        </w:rPr>
        <w:t xml:space="preserve">(enh ≡ </w:t>
      </w:r>
      <w:r>
        <w:rPr>
          <w:b w:val="0"/>
          <w:i w:val="0"/>
        </w:rPr>
        <w:t>P</w:t>
      </w:r>
      <w:r>
        <w:rPr>
          <w:b w:val="0"/>
          <w:i w:val="0"/>
          <w:vertAlign w:val="subscript"/>
        </w:rPr>
        <w:t>F</w:t>
      </w:r>
      <w:r>
        <w:rPr>
          <w:b w:val="0"/>
          <w:i w:val="0"/>
        </w:rPr>
        <w:t>[</w:t>
      </w:r>
      <w:r>
        <w:rPr>
          <w:b w:val="0"/>
          <w:i w:val="0"/>
        </w:rPr>
        <w:t>f</w:t>
      </w:r>
      <w:r>
        <w:rPr>
          <w:b w:val="0"/>
          <w:i w:val="0"/>
          <w:vertAlign w:val="subscript"/>
        </w:rPr>
        <w:t>kinetic</w:t>
      </w:r>
      <w:r>
        <w:rPr>
          <w:b w:val="0"/>
          <w:i w:val="0"/>
        </w:rPr>
        <w:t>]/</w:t>
      </w:r>
      <w:r>
        <w:rPr>
          <w:b w:val="0"/>
          <w:i w:val="0"/>
        </w:rPr>
        <w:t>P</w:t>
      </w:r>
      <w:r>
        <w:rPr>
          <w:b w:val="0"/>
          <w:i w:val="0"/>
          <w:vertAlign w:val="subscript"/>
        </w:rPr>
        <w:t>F</w:t>
      </w:r>
      <w:r>
        <w:rPr>
          <w:b w:val="0"/>
          <w:i w:val="0"/>
        </w:rPr>
        <w:t>[Maxwell]; the thermal Fokker–Planck steady state, then the additive Coulomb (Putvinski) alpha drive and the Belloni R-matrix nuclear factor.)</w:t>
      </w:r>
    </w:p>
    <w:p>
      <w:pPr>
        <w:keepNext/>
        <w:spacing w:before="200" w:after="80"/>
      </w:pPr>
      <w:r>
        <w:rPr>
          <w:b/>
          <w:color w:val="1A1A1A"/>
          <w:sz w:val="24"/>
        </w:rPr>
        <w:t>Table 3 — Multi-regime net-power summary (Wang cross section, conservative accounting)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5F1"/>
          </w:tcPr>
          <w:p>
            <w:pPr>
              <w:jc w:val="left"/>
            </w:pPr>
            <w:r>
              <w:rPr>
                <w:b/>
                <w:i w:val="0"/>
                <w:sz w:val="20"/>
              </w:rPr>
              <w:t>Regime</w:t>
            </w:r>
          </w:p>
        </w:tc>
        <w:tc>
          <w:tcPr>
            <w:tcW w:type="dxa" w:w="2340"/>
            <w:shd w:val="clear" w:color="auto" w:fill="D9E5F1"/>
          </w:tcPr>
          <w:p>
            <w:pPr>
              <w:jc w:val="left"/>
            </w:pPr>
            <w:r>
              <w:rPr>
                <w:b/>
                <w:i w:val="0"/>
                <w:sz w:val="20"/>
              </w:rPr>
              <w:t>Quantity</w:t>
            </w:r>
          </w:p>
        </w:tc>
        <w:tc>
          <w:tcPr>
            <w:tcW w:type="dxa" w:w="2340"/>
            <w:shd w:val="clear" w:color="auto" w:fill="D9E5F1"/>
          </w:tcPr>
          <w:p>
            <w:pPr>
              <w:jc w:val="left"/>
            </w:pPr>
            <w:r>
              <w:rPr>
                <w:b/>
                <w:i w:val="0"/>
                <w:sz w:val="20"/>
              </w:rPr>
              <w:t>Result</w:t>
            </w:r>
          </w:p>
        </w:tc>
        <w:tc>
          <w:tcPr>
            <w:tcW w:type="dxa" w:w="2340"/>
            <w:shd w:val="clear" w:color="auto" w:fill="D9E5F1"/>
          </w:tcPr>
          <w:p>
            <w:pPr>
              <w:jc w:val="left"/>
            </w:pPr>
            <w:r>
              <w:rPr>
                <w:b/>
                <w:i w:val="0"/>
                <w:sz w:val="20"/>
              </w:rPr>
              <w:t>Threshold</w:t>
            </w:r>
          </w:p>
        </w:tc>
      </w:tr>
      <w:tr>
        <w:tc>
          <w:tcPr>
            <w:tcW w:type="dxa" w:w="2340"/>
          </w:tcPr>
          <w:p>
            <w:pPr>
              <w:jc w:val="left"/>
            </w:pPr>
            <w:r>
              <w:rPr>
                <w:b w:val="0"/>
                <w:i w:val="0"/>
                <w:sz w:val="20"/>
              </w:rPr>
              <w:t>Thermal</w:t>
            </w:r>
          </w:p>
        </w:tc>
        <w:tc>
          <w:tcPr>
            <w:tcW w:type="dxa" w:w="2340"/>
          </w:tcPr>
          <w:p>
            <w:pPr>
              <w:jc w:val="left"/>
            </w:pPr>
            <w:r>
              <w:rPr>
                <w:b w:val="0"/>
                <w:i w:val="0"/>
                <w:sz w:val="20"/>
              </w:rPr>
              <w:t xml:space="preserve">peak </w:t>
            </w:r>
            <w:r>
              <w:rPr>
                <w:b w:val="0"/>
                <w:i w:val="0"/>
                <w:sz w:val="20"/>
              </w:rPr>
              <w:t>P</w:t>
            </w:r>
            <w:r>
              <w:rPr>
                <w:b w:val="0"/>
                <w:i w:val="0"/>
                <w:sz w:val="20"/>
                <w:vertAlign w:val="subscript"/>
              </w:rPr>
              <w:t>F</w:t>
            </w:r>
            <w:r>
              <w:rPr>
                <w:b w:val="0"/>
                <w:i w:val="0"/>
                <w:sz w:val="20"/>
              </w:rPr>
              <w:t>/</w:t>
            </w:r>
            <w:r>
              <w:rPr>
                <w:b w:val="0"/>
                <w:i w:val="0"/>
                <w:sz w:val="20"/>
              </w:rPr>
              <w:t>P</w:t>
            </w:r>
            <w:r>
              <w:rPr>
                <w:b w:val="0"/>
                <w:i w:val="0"/>
                <w:sz w:val="20"/>
                <w:vertAlign w:val="subscript"/>
              </w:rPr>
              <w:t>B</w:t>
            </w:r>
          </w:p>
        </w:tc>
        <w:tc>
          <w:tcPr>
            <w:tcW w:type="dxa" w:w="2340"/>
          </w:tcPr>
          <w:p>
            <w:pPr>
              <w:jc w:val="left"/>
            </w:pPr>
            <w:r>
              <w:rPr>
                <w:b w:val="0"/>
                <w:i w:val="0"/>
                <w:sz w:val="20"/>
              </w:rPr>
              <w:t>1.01 (TB 1.20; NS 0.96)</w:t>
            </w:r>
          </w:p>
        </w:tc>
        <w:tc>
          <w:tcPr>
            <w:tcW w:type="dxa" w:w="2340"/>
          </w:tcPr>
          <w:p>
            <w:pPr>
              <w:jc w:val="left"/>
            </w:pPr>
            <w:r>
              <w:rPr>
                <w:b w:val="0"/>
                <w:i w:val="0"/>
                <w:sz w:val="20"/>
              </w:rPr>
              <w:t>sits at threshold</w:t>
            </w:r>
          </w:p>
        </w:tc>
      </w:tr>
      <w:tr>
        <w:tc>
          <w:tcPr>
            <w:tcW w:type="dxa" w:w="2340"/>
          </w:tcPr>
          <w:p>
            <w:pPr>
              <w:jc w:val="left"/>
            </w:pPr>
            <w:r>
              <w:rPr>
                <w:b w:val="0"/>
                <w:i w:val="0"/>
                <w:sz w:val="20"/>
              </w:rPr>
              <w:t>Kinetic</w:t>
            </w:r>
          </w:p>
        </w:tc>
        <w:tc>
          <w:tcPr>
            <w:tcW w:type="dxa" w:w="2340"/>
          </w:tcPr>
          <w:p>
            <w:pPr>
              <w:jc w:val="left"/>
            </w:pPr>
            <w:r>
              <w:rPr>
                <w:b w:val="0"/>
                <w:i w:val="0"/>
                <w:sz w:val="20"/>
              </w:rPr>
              <w:t xml:space="preserve">peak </w:t>
            </w:r>
            <w:r>
              <w:rPr>
                <w:b w:val="0"/>
                <w:i w:val="0"/>
                <w:sz w:val="20"/>
              </w:rPr>
              <w:t>P</w:t>
            </w:r>
            <w:r>
              <w:rPr>
                <w:b w:val="0"/>
                <w:i w:val="0"/>
                <w:sz w:val="20"/>
                <w:vertAlign w:val="subscript"/>
              </w:rPr>
              <w:t>F</w:t>
            </w:r>
            <w:r>
              <w:rPr>
                <w:b w:val="0"/>
                <w:i w:val="0"/>
                <w:sz w:val="20"/>
              </w:rPr>
              <w:t>/</w:t>
            </w:r>
            <w:r>
              <w:rPr>
                <w:b w:val="0"/>
                <w:i w:val="0"/>
                <w:sz w:val="20"/>
              </w:rPr>
              <w:t>P</w:t>
            </w:r>
            <w:r>
              <w:rPr>
                <w:b w:val="0"/>
                <w:i w:val="0"/>
                <w:sz w:val="20"/>
                <w:vertAlign w:val="subscript"/>
              </w:rPr>
              <w:t>B</w:t>
            </w:r>
          </w:p>
        </w:tc>
        <w:tc>
          <w:tcPr>
            <w:tcW w:type="dxa" w:w="2340"/>
          </w:tcPr>
          <w:p>
            <w:pPr>
              <w:jc w:val="left"/>
            </w:pPr>
            <w:r>
              <w:rPr>
                <w:b w:val="0"/>
                <w:i w:val="0"/>
                <w:sz w:val="20"/>
              </w:rPr>
              <w:t>1.26 (0.98 without R-matrix)</w:t>
            </w:r>
          </w:p>
        </w:tc>
        <w:tc>
          <w:tcPr>
            <w:tcW w:type="dxa" w:w="2340"/>
          </w:tcPr>
          <w:p>
            <w:pPr>
              <w:jc w:val="left"/>
            </w:pPr>
            <w:r>
              <w:rPr>
                <w:b w:val="0"/>
                <w:i w:val="0"/>
                <w:sz w:val="20"/>
              </w:rPr>
              <w:t>needs R-matrix</w:t>
            </w:r>
          </w:p>
        </w:tc>
      </w:tr>
      <w:tr>
        <w:tc>
          <w:tcPr>
            <w:tcW w:type="dxa" w:w="2340"/>
          </w:tcPr>
          <w:p>
            <w:pPr>
              <w:jc w:val="left"/>
            </w:pPr>
            <w:r>
              <w:rPr>
                <w:b w:val="0"/>
                <w:i w:val="0"/>
                <w:sz w:val="20"/>
              </w:rPr>
              <w:t>Combinatorial</w:t>
            </w:r>
          </w:p>
        </w:tc>
        <w:tc>
          <w:tcPr>
            <w:tcW w:type="dxa" w:w="2340"/>
          </w:tcPr>
          <w:p>
            <w:pPr>
              <w:jc w:val="left"/>
            </w:pPr>
            <w:r>
              <w:rPr>
                <w:b w:val="0"/>
                <w:i w:val="0"/>
                <w:sz w:val="20"/>
              </w:rPr>
              <w:t>positive samples / 4.19×10⁶ (strict)</w:t>
            </w:r>
          </w:p>
        </w:tc>
        <w:tc>
          <w:tcPr>
            <w:tcW w:type="dxa" w:w="2340"/>
          </w:tcPr>
          <w:p>
            <w:pPr>
              <w:jc w:val="left"/>
            </w:pPr>
            <w:r>
              <w:rPr>
                <w:b w:val="0"/>
                <w:i w:val="0"/>
                <w:sz w:val="20"/>
              </w:rPr>
              <w:t>0 (best −14%; bracket to −76%)</w:t>
            </w:r>
          </w:p>
        </w:tc>
        <w:tc>
          <w:tcPr>
            <w:tcW w:type="dxa" w:w="2340"/>
          </w:tcPr>
          <w:p>
            <w:pPr>
              <w:jc w:val="left"/>
            </w:pPr>
            <w:r>
              <w:rPr>
                <w:b w:val="0"/>
                <w:i w:val="0"/>
                <w:sz w:val="20"/>
              </w:rPr>
              <w:t>none</w:t>
            </w:r>
          </w:p>
        </w:tc>
      </w:tr>
      <w:tr>
        <w:tc>
          <w:tcPr>
            <w:tcW w:type="dxa" w:w="2340"/>
          </w:tcPr>
          <w:p>
            <w:pPr>
              <w:jc w:val="left"/>
            </w:pPr>
            <w:r>
              <w:rPr>
                <w:b w:val="0"/>
                <w:i w:val="0"/>
                <w:sz w:val="20"/>
              </w:rPr>
              <w:t>Transient</w:t>
            </w:r>
          </w:p>
        </w:tc>
        <w:tc>
          <w:tcPr>
            <w:tcW w:type="dxa" w:w="2340"/>
          </w:tcPr>
          <w:p>
            <w:pPr>
              <w:jc w:val="left"/>
            </w:pPr>
            <w:r>
              <w:rPr>
                <w:b w:val="0"/>
                <w:i w:val="0"/>
                <w:sz w:val="20"/>
              </w:rPr>
              <w:t xml:space="preserve">cycle gain G (achievable </w:t>
            </w:r>
            <w:r>
              <w:rPr>
                <w:b w:val="0"/>
                <w:i w:val="0"/>
                <w:sz w:val="20"/>
              </w:rPr>
              <w:t>τ</w:t>
            </w:r>
            <w:r>
              <w:rPr>
                <w:b w:val="0"/>
                <w:i w:val="0"/>
                <w:sz w:val="20"/>
                <w:vertAlign w:val="subscript"/>
              </w:rPr>
              <w:t>E</w:t>
            </w:r>
            <w:r>
              <w:rPr>
                <w:b w:val="0"/>
                <w:i w:val="0"/>
                <w:sz w:val="20"/>
              </w:rPr>
              <w:t>)</w:t>
            </w:r>
          </w:p>
        </w:tc>
        <w:tc>
          <w:tcPr>
            <w:tcW w:type="dxa" w:w="2340"/>
          </w:tcPr>
          <w:p>
            <w:pPr>
              <w:jc w:val="left"/>
            </w:pPr>
            <w:r>
              <w:rPr>
                <w:b w:val="0"/>
                <w:i w:val="0"/>
                <w:sz w:val="20"/>
              </w:rPr>
              <w:t xml:space="preserve">~0.02 (&lt;0.4 at </w:t>
            </w:r>
            <w:r>
              <w:rPr>
                <w:b w:val="0"/>
                <w:i w:val="0"/>
                <w:sz w:val="20"/>
              </w:rPr>
              <w:t>τ</w:t>
            </w:r>
            <w:r>
              <w:rPr>
                <w:b w:val="0"/>
                <w:i w:val="0"/>
                <w:sz w:val="20"/>
                <w:vertAlign w:val="subscript"/>
              </w:rPr>
              <w:t>E</w:t>
            </w:r>
            <w:r>
              <w:rPr>
                <w:b w:val="0"/>
                <w:i w:val="0"/>
                <w:sz w:val="20"/>
              </w:rPr>
              <w:t>=100 s; ≤0.36 α→ions)</w:t>
            </w:r>
          </w:p>
        </w:tc>
        <w:tc>
          <w:tcPr>
            <w:tcW w:type="dxa" w:w="2340"/>
          </w:tcPr>
          <w:p>
            <w:pPr>
              <w:jc w:val="left"/>
            </w:pPr>
            <w:r>
              <w:rPr>
                <w:b w:val="0"/>
                <w:i w:val="0"/>
                <w:sz w:val="20"/>
              </w:rPr>
              <w:t>≪ 1</w:t>
            </w:r>
          </w:p>
        </w:tc>
      </w:tr>
      <w:tr>
        <w:tc>
          <w:tcPr>
            <w:tcW w:type="dxa" w:w="2340"/>
          </w:tcPr>
          <w:p>
            <w:pPr>
              <w:jc w:val="left"/>
            </w:pPr>
            <w:r>
              <w:rPr>
                <w:b w:val="0"/>
                <w:i w:val="0"/>
                <w:sz w:val="20"/>
              </w:rPr>
              <w:t>Spatial 1-D</w:t>
            </w:r>
          </w:p>
        </w:tc>
        <w:tc>
          <w:tcPr>
            <w:tcW w:type="dxa" w:w="2340"/>
          </w:tcPr>
          <w:p>
            <w:pPr>
              <w:jc w:val="left"/>
            </w:pPr>
            <w:r>
              <w:rPr>
                <w:b w:val="0"/>
                <w:i w:val="0"/>
                <w:sz w:val="20"/>
              </w:rPr>
              <w:t>P</w:t>
            </w:r>
            <w:r>
              <w:rPr>
                <w:b w:val="0"/>
                <w:i w:val="0"/>
                <w:sz w:val="20"/>
                <w:vertAlign w:val="subscript"/>
              </w:rPr>
              <w:t>transport</w:t>
            </w:r>
            <w:r>
              <w:rPr>
                <w:b w:val="0"/>
                <w:i w:val="0"/>
                <w:sz w:val="20"/>
              </w:rPr>
              <w:t xml:space="preserve"> / </w:t>
            </w:r>
            <w:r>
              <w:rPr>
                <w:b w:val="0"/>
                <w:i w:val="0"/>
                <w:sz w:val="20"/>
              </w:rPr>
              <w:t>P</w:t>
            </w:r>
            <w:r>
              <w:rPr>
                <w:b w:val="0"/>
                <w:i w:val="0"/>
                <w:sz w:val="20"/>
                <w:vertAlign w:val="subscript"/>
              </w:rPr>
              <w:t>fus</w:t>
            </w:r>
            <w:r>
              <w:rPr>
                <w:b w:val="0"/>
                <w:i w:val="0"/>
                <w:sz w:val="20"/>
              </w:rPr>
              <w:t xml:space="preserve"> (realistic χ)</w:t>
            </w:r>
          </w:p>
        </w:tc>
        <w:tc>
          <w:tcPr>
            <w:tcW w:type="dxa" w:w="2340"/>
          </w:tcPr>
          <w:p>
            <w:pPr>
              <w:jc w:val="left"/>
            </w:pPr>
            <w:r>
              <w:rPr>
                <w:b w:val="0"/>
                <w:i w:val="0"/>
                <w:sz w:val="20"/>
              </w:rPr>
              <w:t>20× – 10⁴×</w:t>
            </w:r>
          </w:p>
        </w:tc>
        <w:tc>
          <w:tcPr>
            <w:tcW w:type="dxa" w:w="2340"/>
          </w:tcPr>
          <w:p>
            <w:pPr>
              <w:jc w:val="left"/>
            </w:pPr>
            <w:r>
              <w:rPr>
                <w:b w:val="0"/>
                <w:i w:val="0"/>
                <w:sz w:val="20"/>
              </w:rPr>
              <w:t>≫ 1</w:t>
            </w:r>
          </w:p>
        </w:tc>
      </w:tr>
    </w:tbl>
    <w:p>
      <w:pPr>
        <w:spacing w:after="80"/>
      </w:pPr>
    </w:p>
    <w:p>
      <w:pPr>
        <w:keepNext/>
        <w:spacing w:before="280" w:after="120"/>
      </w:pPr>
      <w:r>
        <w:rPr>
          <w:b/>
          <w:color w:val="1A1A1A"/>
          <w:sz w:val="28"/>
        </w:rPr>
        <w:t>Figure captions</w:t>
      </w:r>
    </w:p>
    <w:p>
      <w:pPr>
        <w:spacing w:before="120"/>
        <w:jc w:val="center"/>
      </w:pPr>
      <w:r>
        <w:drawing>
          <wp:inline xmlns:a="http://schemas.openxmlformats.org/drawingml/2006/main" xmlns:pic="http://schemas.openxmlformats.org/drawingml/2006/picture">
            <wp:extent cx="5852160" cy="2227011"/>
            <wp:docPr id="1" name="Picture 1"/>
            <wp:cNvGraphicFramePr>
              <a:graphicFrameLocks noChangeAspect="1"/>
            </wp:cNvGraphicFramePr>
            <a:graphic>
              <a:graphicData uri="http://schemas.openxmlformats.org/drawingml/2006/picture">
                <pic:pic>
                  <pic:nvPicPr>
                    <pic:cNvPr id="0" name="cross_section_comparison.png"/>
                    <pic:cNvPicPr/>
                  </pic:nvPicPr>
                  <pic:blipFill>
                    <a:blip r:embed="rId9"/>
                    <a:stretch>
                      <a:fillRect/>
                    </a:stretch>
                  </pic:blipFill>
                  <pic:spPr>
                    <a:xfrm>
                      <a:off x="0" y="0"/>
                      <a:ext cx="5852160" cy="2227011"/>
                    </a:xfrm>
                    <a:prstGeom prst="rect"/>
                  </pic:spPr>
                </pic:pic>
              </a:graphicData>
            </a:graphic>
          </wp:inline>
        </w:drawing>
      </w:r>
    </w:p>
    <w:p>
      <w:pPr>
        <w:spacing w:after="200"/>
      </w:pPr>
      <w:r>
        <w:rPr>
          <w:b/>
          <w:i w:val="0"/>
          <w:sz w:val="20"/>
        </w:rPr>
        <w:t>Figure 1.</w:t>
      </w:r>
      <w:r>
        <w:rPr>
          <w:b w:val="0"/>
          <w:i w:val="0"/>
          <w:sz w:val="20"/>
        </w:rPr>
        <w:t xml:space="preserve"> p-11B fusion cross section σ(E) (a) and Maxwellian reactivity ⟨σv⟩(T) (b) for the Tentori–Belloni 2023, Wang 2026, and Nevins–Swain 2000 parameterizations, all evaluated through the identical reactivity integrator. At 300 keV the reactivities are 4.37, 3.63, and 3.52×10⁻¹⁶ cm³/s.</w:t>
      </w:r>
    </w:p>
    <w:p>
      <w:pPr>
        <w:spacing w:before="120"/>
        <w:jc w:val="center"/>
      </w:pPr>
      <w:r>
        <w:drawing>
          <wp:inline xmlns:a="http://schemas.openxmlformats.org/drawingml/2006/main" xmlns:pic="http://schemas.openxmlformats.org/drawingml/2006/picture">
            <wp:extent cx="5852160" cy="4752320"/>
            <wp:docPr id="2" name="Picture 2"/>
            <wp:cNvGraphicFramePr>
              <a:graphicFrameLocks noChangeAspect="1"/>
            </wp:cNvGraphicFramePr>
            <a:graphic>
              <a:graphicData uri="http://schemas.openxmlformats.org/drawingml/2006/picture">
                <pic:pic>
                  <pic:nvPicPr>
                    <pic:cNvPr id="0" name="sensitivity_2d.png"/>
                    <pic:cNvPicPr/>
                  </pic:nvPicPr>
                  <pic:blipFill>
                    <a:blip r:embed="rId10"/>
                    <a:stretch>
                      <a:fillRect/>
                    </a:stretch>
                  </pic:blipFill>
                  <pic:spPr>
                    <a:xfrm>
                      <a:off x="0" y="0"/>
                      <a:ext cx="5852160" cy="4752320"/>
                    </a:xfrm>
                    <a:prstGeom prst="rect"/>
                  </pic:spPr>
                </pic:pic>
              </a:graphicData>
            </a:graphic>
          </wp:inline>
        </w:drawing>
      </w:r>
    </w:p>
    <w:p>
      <w:pPr>
        <w:spacing w:after="200"/>
      </w:pPr>
      <w:r>
        <w:rPr>
          <w:b/>
          <w:i w:val="0"/>
          <w:sz w:val="20"/>
        </w:rPr>
        <w:t>Figure 2.</w:t>
      </w:r>
      <w:r>
        <w:rPr>
          <w:b w:val="0"/>
          <w:i w:val="0"/>
          <w:sz w:val="20"/>
        </w:rPr>
        <w:t xml:space="preserve"> Two-dimensional kinetic-uncertainty map. Because the enhancement depends only on p = (</w:t>
      </w:r>
      <w:r>
        <w:rPr>
          <w:b w:val="0"/>
          <w:i w:val="0"/>
          <w:sz w:val="20"/>
        </w:rPr>
        <w:t>n</w:t>
      </w:r>
      <w:r>
        <w:rPr>
          <w:b w:val="0"/>
          <w:i w:val="0"/>
          <w:sz w:val="20"/>
          <w:vertAlign w:val="subscript"/>
        </w:rPr>
        <w:t>α</w:t>
      </w:r>
      <w:r>
        <w:rPr>
          <w:b w:val="0"/>
          <w:i w:val="0"/>
          <w:sz w:val="20"/>
        </w:rPr>
        <w:t>/</w:t>
      </w:r>
      <w:r>
        <w:rPr>
          <w:b w:val="0"/>
          <w:i w:val="0"/>
          <w:sz w:val="20"/>
        </w:rPr>
        <w:t>n</w:t>
      </w:r>
      <w:r>
        <w:rPr>
          <w:b w:val="0"/>
          <w:i w:val="0"/>
          <w:sz w:val="20"/>
          <w:vertAlign w:val="subscript"/>
        </w:rPr>
        <w:t>e</w:t>
      </w:r>
      <w:r>
        <w:rPr>
          <w:b w:val="0"/>
          <w:i w:val="0"/>
          <w:sz w:val="20"/>
        </w:rPr>
        <w:t>)·</w:t>
      </w:r>
      <w:r>
        <w:rPr>
          <w:b w:val="0"/>
          <w:i w:val="0"/>
          <w:sz w:val="20"/>
        </w:rPr>
        <w:t>F</w:t>
      </w:r>
      <w:r>
        <w:rPr>
          <w:b w:val="0"/>
          <w:i w:val="0"/>
          <w:sz w:val="20"/>
          <w:vertAlign w:val="subscript"/>
        </w:rPr>
        <w:t>scale</w:t>
      </w:r>
      <w:r>
        <w:rPr>
          <w:b w:val="0"/>
          <w:i w:val="0"/>
          <w:sz w:val="20"/>
        </w:rPr>
        <w:t xml:space="preserve">, the ignition boundary is a hyperbola; the panel shows peak </w:t>
      </w:r>
      <w:r>
        <w:rPr>
          <w:b w:val="0"/>
          <w:i w:val="0"/>
          <w:sz w:val="20"/>
        </w:rPr>
        <w:t>P</w:t>
      </w:r>
      <w:r>
        <w:rPr>
          <w:b w:val="0"/>
          <w:i w:val="0"/>
          <w:sz w:val="20"/>
          <w:vertAlign w:val="subscript"/>
        </w:rPr>
        <w:t>F</w:t>
      </w:r>
      <w:r>
        <w:rPr>
          <w:b w:val="0"/>
          <w:i w:val="0"/>
          <w:sz w:val="20"/>
        </w:rPr>
        <w:t>/</w:t>
      </w:r>
      <w:r>
        <w:rPr>
          <w:b w:val="0"/>
          <w:i w:val="0"/>
          <w:sz w:val="20"/>
        </w:rPr>
        <w:t>P</w:t>
      </w:r>
      <w:r>
        <w:rPr>
          <w:b w:val="0"/>
          <w:i w:val="0"/>
          <w:sz w:val="20"/>
          <w:vertAlign w:val="subscript"/>
        </w:rPr>
        <w:t>B</w:t>
      </w:r>
      <w:r>
        <w:rPr>
          <w:b w:val="0"/>
          <w:i w:val="0"/>
          <w:sz w:val="20"/>
        </w:rPr>
        <w:t xml:space="preserve"> over the (</w:t>
      </w:r>
      <w:r>
        <w:rPr>
          <w:b w:val="0"/>
          <w:i w:val="0"/>
          <w:sz w:val="20"/>
        </w:rPr>
        <w:t>n</w:t>
      </w:r>
      <w:r>
        <w:rPr>
          <w:b w:val="0"/>
          <w:i w:val="0"/>
          <w:sz w:val="20"/>
          <w:vertAlign w:val="subscript"/>
        </w:rPr>
        <w:t>α</w:t>
      </w:r>
      <w:r>
        <w:rPr>
          <w:b w:val="0"/>
          <w:i w:val="0"/>
          <w:sz w:val="20"/>
        </w:rPr>
        <w:t xml:space="preserve">, </w:t>
      </w:r>
      <w:r>
        <w:rPr>
          <w:b w:val="0"/>
          <w:i w:val="0"/>
          <w:sz w:val="20"/>
        </w:rPr>
        <w:t>F</w:t>
      </w:r>
      <w:r>
        <w:rPr>
          <w:b w:val="0"/>
          <w:i w:val="0"/>
          <w:sz w:val="20"/>
          <w:vertAlign w:val="subscript"/>
        </w:rPr>
        <w:t>scale</w:t>
      </w:r>
      <w:r>
        <w:rPr>
          <w:b w:val="0"/>
          <w:i w:val="0"/>
          <w:sz w:val="20"/>
        </w:rPr>
        <w:t xml:space="preserve">) plane for both cross sections, with the </w:t>
      </w:r>
      <w:r>
        <w:rPr>
          <w:b w:val="0"/>
          <w:i w:val="0"/>
          <w:sz w:val="20"/>
        </w:rPr>
        <w:t>P</w:t>
      </w:r>
      <w:r>
        <w:rPr>
          <w:b w:val="0"/>
          <w:i w:val="0"/>
          <w:sz w:val="20"/>
          <w:vertAlign w:val="subscript"/>
        </w:rPr>
        <w:t>F</w:t>
      </w:r>
      <w:r>
        <w:rPr>
          <w:b w:val="0"/>
          <w:i w:val="0"/>
          <w:sz w:val="20"/>
        </w:rPr>
        <w:t>/</w:t>
      </w:r>
      <w:r>
        <w:rPr>
          <w:b w:val="0"/>
          <w:i w:val="0"/>
          <w:sz w:val="20"/>
        </w:rPr>
        <w:t>P</w:t>
      </w:r>
      <w:r>
        <w:rPr>
          <w:b w:val="0"/>
          <w:i w:val="0"/>
          <w:sz w:val="20"/>
          <w:vertAlign w:val="subscript"/>
        </w:rPr>
        <w:t>B</w:t>
      </w:r>
      <w:r>
        <w:rPr>
          <w:b w:val="0"/>
          <w:i w:val="0"/>
          <w:sz w:val="20"/>
        </w:rPr>
        <w:t xml:space="preserve"> = 1 contour, the defensible channeling-efficiency limit, and the Putvinski-only (no-R-matrix) reference.</w:t>
      </w:r>
    </w:p>
    <w:p>
      <w:pPr>
        <w:spacing w:before="120"/>
        <w:jc w:val="center"/>
      </w:pPr>
      <w:r>
        <w:drawing>
          <wp:inline xmlns:a="http://schemas.openxmlformats.org/drawingml/2006/main" xmlns:pic="http://schemas.openxmlformats.org/drawingml/2006/picture">
            <wp:extent cx="5852160" cy="4020208"/>
            <wp:docPr id="3" name="Picture 3"/>
            <wp:cNvGraphicFramePr>
              <a:graphicFrameLocks noChangeAspect="1"/>
            </wp:cNvGraphicFramePr>
            <a:graphic>
              <a:graphicData uri="http://schemas.openxmlformats.org/drawingml/2006/picture">
                <pic:pic>
                  <pic:nvPicPr>
                    <pic:cNvPr id="0" name="montecarlo_hist.png"/>
                    <pic:cNvPicPr/>
                  </pic:nvPicPr>
                  <pic:blipFill>
                    <a:blip r:embed="rId11"/>
                    <a:stretch>
                      <a:fillRect/>
                    </a:stretch>
                  </pic:blipFill>
                  <pic:spPr>
                    <a:xfrm>
                      <a:off x="0" y="0"/>
                      <a:ext cx="5852160" cy="4020208"/>
                    </a:xfrm>
                    <a:prstGeom prst="rect"/>
                  </pic:spPr>
                </pic:pic>
              </a:graphicData>
            </a:graphic>
          </wp:inline>
        </w:drawing>
      </w:r>
    </w:p>
    <w:p>
      <w:pPr>
        <w:spacing w:before="120"/>
        <w:jc w:val="center"/>
      </w:pPr>
      <w:r>
        <w:drawing>
          <wp:inline xmlns:a="http://schemas.openxmlformats.org/drawingml/2006/main" xmlns:pic="http://schemas.openxmlformats.org/drawingml/2006/picture">
            <wp:extent cx="5852160" cy="1832052"/>
            <wp:docPr id="4" name="Picture 4"/>
            <wp:cNvGraphicFramePr>
              <a:graphicFrameLocks noChangeAspect="1"/>
            </wp:cNvGraphicFramePr>
            <a:graphic>
              <a:graphicData uri="http://schemas.openxmlformats.org/drawingml/2006/picture">
                <pic:pic>
                  <pic:nvPicPr>
                    <pic:cNvPr id="0" name="montecarlo_projection.png"/>
                    <pic:cNvPicPr/>
                  </pic:nvPicPr>
                  <pic:blipFill>
                    <a:blip r:embed="rId12"/>
                    <a:stretch>
                      <a:fillRect/>
                    </a:stretch>
                  </pic:blipFill>
                  <pic:spPr>
                    <a:xfrm>
                      <a:off x="0" y="0"/>
                      <a:ext cx="5852160" cy="1832052"/>
                    </a:xfrm>
                    <a:prstGeom prst="rect"/>
                  </pic:spPr>
                </pic:pic>
              </a:graphicData>
            </a:graphic>
          </wp:inline>
        </w:drawing>
      </w:r>
    </w:p>
    <w:p>
      <w:pPr>
        <w:spacing w:after="200"/>
      </w:pPr>
      <w:r>
        <w:rPr>
          <w:b/>
          <w:i w:val="0"/>
          <w:sz w:val="20"/>
        </w:rPr>
        <w:t>Figure 3.</w:t>
      </w:r>
      <w:r>
        <w:rPr>
          <w:b w:val="0"/>
          <w:i w:val="0"/>
          <w:sz w:val="20"/>
        </w:rPr>
        <w:t xml:space="preserve"> Combinatorial net-power scan (4.19×10⁶ Sobol samples, seven free levers). Top: distribution of </w:t>
      </w:r>
      <w:r>
        <w:rPr>
          <w:b w:val="0"/>
          <w:i w:val="0"/>
          <w:sz w:val="20"/>
        </w:rPr>
        <w:t>P</w:t>
      </w:r>
      <w:r>
        <w:rPr>
          <w:b w:val="0"/>
          <w:i w:val="0"/>
          <w:sz w:val="20"/>
          <w:vertAlign w:val="subscript"/>
        </w:rPr>
        <w:t>net</w:t>
      </w:r>
      <w:r>
        <w:rPr>
          <w:b w:val="0"/>
          <w:i w:val="0"/>
          <w:sz w:val="20"/>
        </w:rPr>
        <w:t>/</w:t>
      </w:r>
      <w:r>
        <w:rPr>
          <w:b w:val="0"/>
          <w:i w:val="0"/>
          <w:sz w:val="20"/>
        </w:rPr>
        <w:t>P</w:t>
      </w:r>
      <w:r>
        <w:rPr>
          <w:b w:val="0"/>
          <w:i w:val="0"/>
          <w:sz w:val="20"/>
          <w:vertAlign w:val="subscript"/>
        </w:rPr>
        <w:t>brems</w:t>
      </w:r>
      <w:r>
        <w:rPr>
          <w:b w:val="0"/>
          <w:i w:val="0"/>
          <w:sz w:val="20"/>
        </w:rPr>
        <w:t xml:space="preserve"> for the two cross sections and the two recirculation-accounting variants, with the ignition threshold marked; the strict-accounting Wang distribution lies entirely below threshold.</w:t>
      </w:r>
    </w:p>
    <w:p>
      <w:pPr>
        <w:spacing w:before="120"/>
        <w:jc w:val="center"/>
      </w:pPr>
      <w:r>
        <w:drawing>
          <wp:inline xmlns:a="http://schemas.openxmlformats.org/drawingml/2006/main" xmlns:pic="http://schemas.openxmlformats.org/drawingml/2006/picture">
            <wp:extent cx="5852160" cy="4114327"/>
            <wp:docPr id="5" name="Picture 5"/>
            <wp:cNvGraphicFramePr>
              <a:graphicFrameLocks noChangeAspect="1"/>
            </wp:cNvGraphicFramePr>
            <a:graphic>
              <a:graphicData uri="http://schemas.openxmlformats.org/drawingml/2006/picture">
                <pic:pic>
                  <pic:nvPicPr>
                    <pic:cNvPr id="0" name="pulsed_timeseries.png"/>
                    <pic:cNvPicPr/>
                  </pic:nvPicPr>
                  <pic:blipFill>
                    <a:blip r:embed="rId13"/>
                    <a:stretch>
                      <a:fillRect/>
                    </a:stretch>
                  </pic:blipFill>
                  <pic:spPr>
                    <a:xfrm>
                      <a:off x="0" y="0"/>
                      <a:ext cx="5852160" cy="4114327"/>
                    </a:xfrm>
                    <a:prstGeom prst="rect"/>
                  </pic:spPr>
                </pic:pic>
              </a:graphicData>
            </a:graphic>
          </wp:inline>
        </w:drawing>
      </w:r>
    </w:p>
    <w:p>
      <w:pPr>
        <w:spacing w:before="120"/>
        <w:jc w:val="center"/>
      </w:pPr>
      <w:r>
        <w:drawing>
          <wp:inline xmlns:a="http://schemas.openxmlformats.org/drawingml/2006/main" xmlns:pic="http://schemas.openxmlformats.org/drawingml/2006/picture">
            <wp:extent cx="5852160" cy="4332078"/>
            <wp:docPr id="6" name="Picture 6"/>
            <wp:cNvGraphicFramePr>
              <a:graphicFrameLocks noChangeAspect="1"/>
            </wp:cNvGraphicFramePr>
            <a:graphic>
              <a:graphicData uri="http://schemas.openxmlformats.org/drawingml/2006/picture">
                <pic:pic>
                  <pic:nvPicPr>
                    <pic:cNvPr id="0" name="pulsed_Gmap.png"/>
                    <pic:cNvPicPr/>
                  </pic:nvPicPr>
                  <pic:blipFill>
                    <a:blip r:embed="rId14"/>
                    <a:stretch>
                      <a:fillRect/>
                    </a:stretch>
                  </pic:blipFill>
                  <pic:spPr>
                    <a:xfrm>
                      <a:off x="0" y="0"/>
                      <a:ext cx="5852160" cy="4332078"/>
                    </a:xfrm>
                    <a:prstGeom prst="rect"/>
                  </pic:spPr>
                </pic:pic>
              </a:graphicData>
            </a:graphic>
          </wp:inline>
        </w:drawing>
      </w:r>
    </w:p>
    <w:p>
      <w:pPr>
        <w:spacing w:after="200"/>
      </w:pPr>
      <w:r>
        <w:rPr>
          <w:b/>
          <w:i w:val="0"/>
          <w:sz w:val="20"/>
        </w:rPr>
        <w:t>Figure 4.</w:t>
      </w:r>
      <w:r>
        <w:rPr>
          <w:b w:val="0"/>
          <w:i w:val="0"/>
          <w:sz w:val="20"/>
        </w:rPr>
        <w:t xml:space="preserve"> Time-dependent two-temperature model. Left/representative: </w:t>
      </w:r>
      <w:r>
        <w:rPr>
          <w:b w:val="0"/>
          <w:i w:val="0"/>
          <w:sz w:val="20"/>
        </w:rPr>
        <w:t>T</w:t>
      </w:r>
      <w:r>
        <w:rPr>
          <w:b w:val="0"/>
          <w:i w:val="0"/>
          <w:sz w:val="20"/>
          <w:vertAlign w:val="subscript"/>
        </w:rPr>
        <w:t>i</w:t>
      </w:r>
      <w:r>
        <w:rPr>
          <w:b w:val="0"/>
          <w:i w:val="0"/>
          <w:sz w:val="20"/>
        </w:rPr>
        <w:t xml:space="preserve">(t), </w:t>
      </w:r>
      <w:r>
        <w:rPr>
          <w:b w:val="0"/>
          <w:i w:val="0"/>
          <w:sz w:val="20"/>
        </w:rPr>
        <w:t>T</w:t>
      </w:r>
      <w:r>
        <w:rPr>
          <w:b w:val="0"/>
          <w:i w:val="0"/>
          <w:sz w:val="20"/>
          <w:vertAlign w:val="subscript"/>
        </w:rPr>
        <w:t>e</w:t>
      </w:r>
      <w:r>
        <w:rPr>
          <w:b w:val="0"/>
          <w:i w:val="0"/>
          <w:sz w:val="20"/>
        </w:rPr>
        <w:t xml:space="preserve">(t) and </w:t>
      </w:r>
      <w:r>
        <w:rPr>
          <w:b w:val="0"/>
          <w:i w:val="0"/>
          <w:sz w:val="20"/>
        </w:rPr>
        <w:t>P</w:t>
      </w:r>
      <w:r>
        <w:rPr>
          <w:b w:val="0"/>
          <w:i w:val="0"/>
          <w:sz w:val="20"/>
          <w:vertAlign w:val="subscript"/>
        </w:rPr>
        <w:t>fus</w:t>
      </w:r>
      <w:r>
        <w:rPr>
          <w:b w:val="0"/>
          <w:i w:val="0"/>
          <w:sz w:val="20"/>
        </w:rPr>
        <w:t xml:space="preserve">(t), </w:t>
      </w:r>
      <w:r>
        <w:rPr>
          <w:b w:val="0"/>
          <w:i w:val="0"/>
          <w:sz w:val="20"/>
        </w:rPr>
        <w:t>P</w:t>
      </w:r>
      <w:r>
        <w:rPr>
          <w:b w:val="0"/>
          <w:i w:val="0"/>
          <w:sz w:val="20"/>
          <w:vertAlign w:val="subscript"/>
        </w:rPr>
        <w:t>brems</w:t>
      </w:r>
      <w:r>
        <w:rPr>
          <w:b w:val="0"/>
          <w:i w:val="0"/>
          <w:sz w:val="20"/>
        </w:rPr>
        <w:t xml:space="preserve">(t) showing the transient </w:t>
      </w:r>
      <w:r>
        <w:rPr>
          <w:b w:val="0"/>
          <w:i w:val="0"/>
          <w:sz w:val="20"/>
        </w:rPr>
        <w:t>T</w:t>
      </w:r>
      <w:r>
        <w:rPr>
          <w:b w:val="0"/>
          <w:i w:val="0"/>
          <w:sz w:val="20"/>
          <w:vertAlign w:val="subscript"/>
        </w:rPr>
        <w:t>e</w:t>
      </w:r>
      <w:r>
        <w:rPr>
          <w:b w:val="0"/>
          <w:i w:val="0"/>
          <w:sz w:val="20"/>
        </w:rPr>
        <w:t>&lt;</w:t>
      </w:r>
      <w:r>
        <w:rPr>
          <w:b w:val="0"/>
          <w:i w:val="0"/>
          <w:sz w:val="20"/>
        </w:rPr>
        <w:t>T</w:t>
      </w:r>
      <w:r>
        <w:rPr>
          <w:b w:val="0"/>
          <w:i w:val="0"/>
          <w:sz w:val="20"/>
          <w:vertAlign w:val="subscript"/>
        </w:rPr>
        <w:t>i</w:t>
      </w:r>
      <w:r>
        <w:rPr>
          <w:b w:val="0"/>
          <w:i w:val="0"/>
          <w:sz w:val="20"/>
        </w:rPr>
        <w:t xml:space="preserve"> window (instantaneous </w:t>
      </w:r>
      <w:r>
        <w:rPr>
          <w:b w:val="0"/>
          <w:i w:val="0"/>
          <w:sz w:val="20"/>
        </w:rPr>
        <w:t>P</w:t>
      </w:r>
      <w:r>
        <w:rPr>
          <w:b w:val="0"/>
          <w:i w:val="0"/>
          <w:sz w:val="20"/>
          <w:vertAlign w:val="subscript"/>
        </w:rPr>
        <w:t>fus</w:t>
      </w:r>
      <w:r>
        <w:rPr>
          <w:b w:val="0"/>
          <w:i w:val="0"/>
          <w:sz w:val="20"/>
        </w:rPr>
        <w:t>/</w:t>
      </w:r>
      <w:r>
        <w:rPr>
          <w:b w:val="0"/>
          <w:i w:val="0"/>
          <w:sz w:val="20"/>
        </w:rPr>
        <w:t>P</w:t>
      </w:r>
      <w:r>
        <w:rPr>
          <w:b w:val="0"/>
          <w:i w:val="0"/>
          <w:sz w:val="20"/>
          <w:vertAlign w:val="subscript"/>
        </w:rPr>
        <w:t>brems</w:t>
      </w:r>
      <w:r>
        <w:rPr>
          <w:b w:val="0"/>
          <w:i w:val="0"/>
          <w:sz w:val="20"/>
        </w:rPr>
        <w:t xml:space="preserve"> up to 2.7) and the cycle-integrated gain G ≪ 1. Right: G over the (</w:t>
      </w:r>
      <w:r>
        <w:rPr>
          <w:b w:val="0"/>
          <w:i w:val="0"/>
          <w:sz w:val="20"/>
        </w:rPr>
        <w:t>T</w:t>
      </w:r>
      <w:r>
        <w:rPr>
          <w:b w:val="0"/>
          <w:i w:val="0"/>
          <w:sz w:val="20"/>
          <w:vertAlign w:val="subscript"/>
        </w:rPr>
        <w:t>i,0</w:t>
      </w:r>
      <w:r>
        <w:rPr>
          <w:b w:val="0"/>
          <w:i w:val="0"/>
          <w:sz w:val="20"/>
        </w:rPr>
        <w:t xml:space="preserve">, </w:t>
      </w:r>
      <w:r>
        <w:rPr>
          <w:b w:val="0"/>
          <w:i w:val="0"/>
          <w:sz w:val="20"/>
        </w:rPr>
        <w:t>τ</w:t>
      </w:r>
      <w:r>
        <w:rPr>
          <w:b w:val="0"/>
          <w:i w:val="0"/>
          <w:sz w:val="20"/>
          <w:vertAlign w:val="subscript"/>
        </w:rPr>
        <w:t>E</w:t>
      </w:r>
      <w:r>
        <w:rPr>
          <w:b w:val="0"/>
          <w:i w:val="0"/>
          <w:sz w:val="20"/>
        </w:rPr>
        <w:t xml:space="preserve">) plane; G &lt; 1 everywhere, including </w:t>
      </w:r>
      <w:r>
        <w:rPr>
          <w:b w:val="0"/>
          <w:i w:val="0"/>
          <w:sz w:val="20"/>
        </w:rPr>
        <w:t>τ</w:t>
      </w:r>
      <w:r>
        <w:rPr>
          <w:b w:val="0"/>
          <w:i w:val="0"/>
          <w:sz w:val="20"/>
          <w:vertAlign w:val="subscript"/>
        </w:rPr>
        <w:t>E</w:t>
      </w:r>
      <w:r>
        <w:rPr>
          <w:b w:val="0"/>
          <w:i w:val="0"/>
          <w:sz w:val="20"/>
        </w:rPr>
        <w:t xml:space="preserve"> = 100 s.</w:t>
      </w:r>
    </w:p>
    <w:p>
      <w:pPr>
        <w:spacing w:before="120"/>
        <w:jc w:val="center"/>
      </w:pPr>
      <w:r>
        <w:drawing>
          <wp:inline xmlns:a="http://schemas.openxmlformats.org/drawingml/2006/main" xmlns:pic="http://schemas.openxmlformats.org/drawingml/2006/picture">
            <wp:extent cx="5852160" cy="1746757"/>
            <wp:docPr id="7" name="Picture 7"/>
            <wp:cNvGraphicFramePr>
              <a:graphicFrameLocks noChangeAspect="1"/>
            </wp:cNvGraphicFramePr>
            <a:graphic>
              <a:graphicData uri="http://schemas.openxmlformats.org/drawingml/2006/picture">
                <pic:pic>
                  <pic:nvPicPr>
                    <pic:cNvPr id="0" name="radial_profiles.png"/>
                    <pic:cNvPicPr/>
                  </pic:nvPicPr>
                  <pic:blipFill>
                    <a:blip r:embed="rId15"/>
                    <a:stretch>
                      <a:fillRect/>
                    </a:stretch>
                  </pic:blipFill>
                  <pic:spPr>
                    <a:xfrm>
                      <a:off x="0" y="0"/>
                      <a:ext cx="5852160" cy="1746757"/>
                    </a:xfrm>
                    <a:prstGeom prst="rect"/>
                  </pic:spPr>
                </pic:pic>
              </a:graphicData>
            </a:graphic>
          </wp:inline>
        </w:drawing>
      </w:r>
    </w:p>
    <w:p>
      <w:pPr>
        <w:spacing w:before="120"/>
        <w:jc w:val="center"/>
      </w:pPr>
      <w:r>
        <w:drawing>
          <wp:inline xmlns:a="http://schemas.openxmlformats.org/drawingml/2006/main" xmlns:pic="http://schemas.openxmlformats.org/drawingml/2006/picture">
            <wp:extent cx="5852160" cy="2619876"/>
            <wp:docPr id="8" name="Picture 8"/>
            <wp:cNvGraphicFramePr>
              <a:graphicFrameLocks noChangeAspect="1"/>
            </wp:cNvGraphicFramePr>
            <a:graphic>
              <a:graphicData uri="http://schemas.openxmlformats.org/drawingml/2006/picture">
                <pic:pic>
                  <pic:nvPicPr>
                    <pic:cNvPr id="0" name="radial_Pnet_maps.png"/>
                    <pic:cNvPicPr/>
                  </pic:nvPicPr>
                  <pic:blipFill>
                    <a:blip r:embed="rId16"/>
                    <a:stretch>
                      <a:fillRect/>
                    </a:stretch>
                  </pic:blipFill>
                  <pic:spPr>
                    <a:xfrm>
                      <a:off x="0" y="0"/>
                      <a:ext cx="5852160" cy="2619876"/>
                    </a:xfrm>
                    <a:prstGeom prst="rect"/>
                  </pic:spPr>
                </pic:pic>
              </a:graphicData>
            </a:graphic>
          </wp:inline>
        </w:drawing>
      </w:r>
    </w:p>
    <w:p>
      <w:pPr>
        <w:spacing w:after="200"/>
      </w:pPr>
      <w:r>
        <w:rPr>
          <w:b/>
          <w:i w:val="0"/>
          <w:sz w:val="20"/>
        </w:rPr>
        <w:t>Figure 5.</w:t>
      </w:r>
      <w:r>
        <w:rPr>
          <w:b w:val="0"/>
          <w:i w:val="0"/>
          <w:sz w:val="20"/>
        </w:rPr>
        <w:t xml:space="preserve"> One-dimensional radial model. Left: hot-core/cold-edge profiles and the conductive power crossing each radius versus the cumulative fusion power (transport exceeds fusion by ~10⁴× at Bohm, B=10 T). Right: </w:t>
      </w:r>
      <w:r>
        <w:rPr>
          <w:b w:val="0"/>
          <w:i w:val="0"/>
          <w:sz w:val="20"/>
        </w:rPr>
        <w:t>P</w:t>
      </w:r>
      <w:r>
        <w:rPr>
          <w:b w:val="0"/>
          <w:i w:val="0"/>
          <w:sz w:val="20"/>
          <w:vertAlign w:val="subscript"/>
        </w:rPr>
        <w:t>net</w:t>
      </w:r>
      <w:r>
        <w:rPr>
          <w:b w:val="0"/>
          <w:i w:val="0"/>
          <w:sz w:val="20"/>
        </w:rPr>
        <w:t>/∫</w:t>
      </w:r>
      <w:r>
        <w:rPr>
          <w:b w:val="0"/>
          <w:i w:val="0"/>
          <w:sz w:val="20"/>
        </w:rPr>
        <w:t>P</w:t>
      </w:r>
      <w:r>
        <w:rPr>
          <w:b w:val="0"/>
          <w:i w:val="0"/>
          <w:sz w:val="20"/>
          <w:vertAlign w:val="subscript"/>
        </w:rPr>
        <w:t>brems</w:t>
      </w:r>
      <w:r>
        <w:rPr>
          <w:b w:val="0"/>
          <w:i w:val="0"/>
          <w:sz w:val="20"/>
        </w:rPr>
        <w:t xml:space="preserve"> and log₁₀(</w:t>
      </w:r>
      <w:r>
        <w:rPr>
          <w:b w:val="0"/>
          <w:i w:val="0"/>
          <w:sz w:val="20"/>
        </w:rPr>
        <w:t>P</w:t>
      </w:r>
      <w:r>
        <w:rPr>
          <w:b w:val="0"/>
          <w:i w:val="0"/>
          <w:sz w:val="20"/>
          <w:vertAlign w:val="subscript"/>
        </w:rPr>
        <w:t>transport</w:t>
      </w:r>
      <w:r>
        <w:rPr>
          <w:b w:val="0"/>
          <w:i w:val="0"/>
          <w:sz w:val="20"/>
        </w:rPr>
        <w:t>/∫</w:t>
      </w:r>
      <w:r>
        <w:rPr>
          <w:b w:val="0"/>
          <w:i w:val="0"/>
          <w:sz w:val="20"/>
        </w:rPr>
        <w:t>P</w:t>
      </w:r>
      <w:r>
        <w:rPr>
          <w:b w:val="0"/>
          <w:i w:val="0"/>
          <w:sz w:val="20"/>
          <w:vertAlign w:val="subscript"/>
        </w:rPr>
        <w:t>fus</w:t>
      </w:r>
      <w:r>
        <w:rPr>
          <w:b w:val="0"/>
          <w:i w:val="0"/>
          <w:sz w:val="20"/>
        </w:rPr>
        <w:t>) over the (</w:t>
      </w:r>
      <w:r>
        <w:rPr>
          <w:b w:val="0"/>
          <w:i w:val="0"/>
          <w:sz w:val="20"/>
        </w:rPr>
        <w:t>T</w:t>
      </w:r>
      <w:r>
        <w:rPr>
          <w:b w:val="0"/>
          <w:i w:val="0"/>
          <w:sz w:val="20"/>
          <w:vertAlign w:val="subscript"/>
        </w:rPr>
        <w:t>i,core</w:t>
      </w:r>
      <w:r>
        <w:rPr>
          <w:b w:val="0"/>
          <w:i w:val="0"/>
          <w:sz w:val="20"/>
        </w:rPr>
        <w:t>, B) plane for Bohm and gyro-Bohm diffusivity.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