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the standard NRL classical value [8]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equivalent to 1.69×10⁻³² with </w:t>
      </w:r>
      <w:r>
        <w:rPr>
          <w:b w:val="0"/>
          <w:i w:val="0"/>
        </w:rPr>
        <w:t>T</w:t>
      </w:r>
      <w:r>
        <w:rPr>
          <w:b w:val="0"/>
          <w:i w:val="0"/>
          <w:vertAlign w:val="subscript"/>
        </w:rPr>
        <w:t>e</w:t>
      </w:r>
      <w:r>
        <w:rPr>
          <w:b w:val="0"/>
          <w:i w:val="0"/>
        </w:rPr>
        <w:t xml:space="preserve"> in eV, and to 5.34×10⁻³⁷ in SI units (</w:t>
      </w:r>
      <w:r>
        <w:rPr>
          <w:b w:val="0"/>
          <w:i w:val="0"/>
        </w:rPr>
        <w:t>n</w:t>
      </w:r>
      <w:r>
        <w:rPr>
          <w:b w:val="0"/>
          <w:i w:val="0"/>
          <w:vertAlign w:val="subscript"/>
        </w:rPr>
        <w:t>e</w:t>
      </w:r>
      <w:r>
        <w:rPr>
          <w:b w:val="0"/>
          <w:i w:val="0"/>
        </w:rPr>
        <w:t xml:space="preserve"> in m⁻³,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Two independent accounting approaches bracket the conservative margin at </w:t>
      </w:r>
      <w:r>
        <w:rPr>
          <w:b/>
          <w:i w:val="0"/>
        </w:rPr>
        <w:t>−14% to −76%</w:t>
      </w:r>
      <w:r>
        <w:rPr>
          <w:b w:val="0"/>
          <w:i w:val="0"/>
        </w:rPr>
        <w:t>, both negative. Figure 3 shows the net-power distribution and the parameter projection of the rare positive samples.</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1832052"/>
            <wp:docPr id="4" name="Picture 4"/>
            <wp:cNvGraphicFramePr>
              <a:graphicFrameLocks noChangeAspect="1"/>
            </wp:cNvGraphicFramePr>
            <a:graphic>
              <a:graphicData uri="http://schemas.openxmlformats.org/drawingml/2006/picture">
                <pic:pic>
                  <pic:nvPicPr>
                    <pic:cNvPr id="0" name="montecarlo_projection.png"/>
                    <pic:cNvPicPr/>
                  </pic:nvPicPr>
                  <pic:blipFill>
                    <a:blip r:embed="rId12"/>
                    <a:stretch>
                      <a:fillRect/>
                    </a:stretch>
                  </pic:blipFill>
                  <pic:spPr>
                    <a:xfrm>
                      <a:off x="0" y="0"/>
                      <a:ext cx="5852160" cy="1832052"/>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Top: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5" name="Picture 5"/>
            <wp:cNvGraphicFramePr>
              <a:graphicFrameLocks noChangeAspect="1"/>
            </wp:cNvGraphicFramePr>
            <a:graphic>
              <a:graphicData uri="http://schemas.openxmlformats.org/drawingml/2006/picture">
                <pic:pic>
                  <pic:nvPicPr>
                    <pic:cNvPr id="0" name="pulsed_timeseries.png"/>
                    <pic:cNvPicPr/>
                  </pic:nvPicPr>
                  <pic:blipFill>
                    <a:blip r:embed="rId13"/>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6" name="Picture 6"/>
            <wp:cNvGraphicFramePr>
              <a:graphicFrameLocks noChangeAspect="1"/>
            </wp:cNvGraphicFramePr>
            <a:graphic>
              <a:graphicData uri="http://schemas.openxmlformats.org/drawingml/2006/picture">
                <pic:pic>
                  <pic:nvPicPr>
                    <pic:cNvPr id="0" name="pulsed_Gmap.png"/>
                    <pic:cNvPicPr/>
                  </pic:nvPicPr>
                  <pic:blipFill>
                    <a:blip r:embed="rId14"/>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7" name="Picture 7"/>
            <wp:cNvGraphicFramePr>
              <a:graphicFrameLocks noChangeAspect="1"/>
            </wp:cNvGraphicFramePr>
            <a:graphic>
              <a:graphicData uri="http://schemas.openxmlformats.org/drawingml/2006/picture">
                <pic:pic>
                  <pic:nvPicPr>
                    <pic:cNvPr id="0" name="radial_profiles.png"/>
                    <pic:cNvPicPr/>
                  </pic:nvPicPr>
                  <pic:blipFill>
                    <a:blip r:embed="rId15"/>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8" name="Picture 8"/>
            <wp:cNvGraphicFramePr>
              <a:graphicFrameLocks noChangeAspect="1"/>
            </wp:cNvGraphicFramePr>
            <a:graphic>
              <a:graphicData uri="http://schemas.openxmlformats.org/drawingml/2006/picture">
                <pic:pic>
                  <pic:nvPicPr>
                    <pic:cNvPr id="0" name="radial_Pnet_maps.png"/>
                    <pic:cNvPicPr/>
                  </pic:nvPicPr>
                  <pic:blipFill>
                    <a:blip r:embed="rId16"/>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