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4.19×10⁶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 (a preprint, not yet peer-reviewed; adopted here as the primary modern cross section);</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the natural unit over the 100–600 keV range; it is the standard NRL classical value [8], equivalent to 1.69×10⁻³² for </w:t>
      </w:r>
      <w:r>
        <w:rPr>
          <w:b w:val="0"/>
          <w:i w:val="0"/>
        </w:rPr>
        <w:t>T</w:t>
      </w:r>
      <w:r>
        <w:rPr>
          <w:b w:val="0"/>
          <w:i w:val="0"/>
          <w:vertAlign w:val="subscript"/>
        </w:rPr>
        <w:t>e</w:t>
      </w:r>
      <w:r>
        <w:rPr>
          <w:b w:val="0"/>
          <w:i w:val="0"/>
        </w:rPr>
        <w:t xml:space="preserve"> in eV (</w:t>
      </w:r>
      <w:r>
        <w:rPr>
          <w:b w:val="0"/>
          <w:i w:val="0"/>
        </w:rPr>
        <w:t>n</w:t>
      </w:r>
      <w:r>
        <w:rPr>
          <w:b w:val="0"/>
          <w:i w:val="0"/>
          <w:vertAlign w:val="subscript"/>
        </w:rPr>
        <w:t>e</w:t>
      </w:r>
      <w:r>
        <w:rPr>
          <w:b w:val="0"/>
          <w:i w:val="0"/>
        </w:rPr>
        <w:t xml:space="preserve"> in cm⁻³, </w:t>
      </w:r>
      <w:r>
        <w:rPr>
          <w:b w:val="0"/>
          <w:i w:val="0"/>
        </w:rPr>
        <w:t>P</w:t>
      </w:r>
      <w:r>
        <w:rPr>
          <w:b w:val="0"/>
          <w:i w:val="0"/>
          <w:vertAlign w:val="subscript"/>
        </w:rPr>
        <w:t>B</w:t>
      </w:r>
      <w:r>
        <w:rPr>
          <w:b w:val="0"/>
          <w:i w:val="0"/>
        </w:rPr>
        <w:t xml:space="preserve"> in W/cm³, as tabulated in the Formulary) and to 1.69×10⁻³⁸ in SI units (</w:t>
      </w:r>
      <w:r>
        <w:rPr>
          <w:b w:val="0"/>
          <w:i w:val="0"/>
        </w:rPr>
        <w:t>n</w:t>
      </w:r>
      <w:r>
        <w:rPr>
          <w:b w:val="0"/>
          <w:i w:val="0"/>
          <w:vertAlign w:val="subscript"/>
        </w:rPr>
        <w:t>e</w:t>
      </w:r>
      <w:r>
        <w:rPr>
          <w:b w:val="0"/>
          <w:i w:val="0"/>
        </w:rPr>
        <w:t xml:space="preserve"> in m⁻³, </w:t>
      </w:r>
      <w:r>
        <w:rPr>
          <w:b w:val="0"/>
          <w:i w:val="0"/>
        </w:rPr>
        <w:t>T</w:t>
      </w:r>
      <w:r>
        <w:rPr>
          <w:b w:val="0"/>
          <w:i w:val="0"/>
          <w:vertAlign w:val="subscript"/>
        </w:rPr>
        <w:t>e</w:t>
      </w:r>
      <w:r>
        <w:rPr>
          <w:b w:val="0"/>
          <w:i w:val="0"/>
        </w:rPr>
        <w:t xml:space="preserve"> in eV,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map, </w:t>
      </w:r>
      <w:r>
        <w:rPr>
          <w:b w:val="0"/>
          <w:i w:val="0"/>
        </w:rPr>
        <w:t>n</w:t>
      </w:r>
      <w:r>
        <w:rPr>
          <w:b w:val="0"/>
          <w:i w:val="0"/>
          <w:vertAlign w:val="subscript"/>
        </w:rPr>
        <w:t>α</w:t>
      </w:r>
      <w:r>
        <w:rPr>
          <w:b w:val="0"/>
          <w:i w:val="0"/>
        </w:rPr>
        <w:t xml:space="preserve"> enters only as the amplitude of the alpha-drive term while the bulk composition (</w:t>
      </w:r>
      <w:r>
        <w:rPr>
          <w:b w:val="0"/>
          <w:i w:val="0"/>
        </w:rPr>
        <w:t>n</w:t>
      </w:r>
      <w:r>
        <w:rPr>
          <w:b w:val="0"/>
          <w:i w:val="0"/>
          <w:vertAlign w:val="subscript"/>
        </w:rPr>
        <w:t>e</w:t>
      </w:r>
      <w:r>
        <w:rPr>
          <w:b w:val="0"/>
          <w:i w:val="0"/>
        </w:rPr>
        <w:t xml:space="preserve">, </w:t>
      </w:r>
      <w:r>
        <w:rPr>
          <w:b w:val="0"/>
          <w:i w:val="0"/>
        </w:rPr>
        <w:t>Z</w:t>
      </w:r>
      <w:r>
        <w:rPr>
          <w:b w:val="0"/>
          <w:i w:val="0"/>
          <w:vertAlign w:val="subscript"/>
        </w:rPr>
        <w:t>eff</w:t>
      </w:r>
      <w:r>
        <w:rPr>
          <w:b w:val="0"/>
          <w:i w:val="0"/>
        </w:rPr>
        <w:t xml:space="preserve">) is held at nominal, so the collapse onto p is exact by construction; the alpha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 xml:space="preserve"> is retained in full in the combinatorial scan (Sec. III.D).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plane is a hyperbola p = p*. We find </w:t>
      </w:r>
      <w:r>
        <w:rPr>
          <w:b/>
          <w:i w:val="0"/>
        </w:rPr>
        <w:t>p*(Wang) = 0.013</w:t>
      </w:r>
      <w:r>
        <w:rPr>
          <w:b w:val="0"/>
          <w:i w:val="0"/>
        </w:rPr>
        <w:t xml:space="preserve"> and </w:t>
      </w:r>
      <w:r>
        <w:rPr>
          <w:b/>
          <w:i w:val="0"/>
        </w:rPr>
        <w:t>p*(TB) = 0</w:t>
      </w:r>
      <w:r>
        <w:rPr>
          <w:b w:val="0"/>
          <w:i w:val="0"/>
        </w:rPr>
        <w:t xml:space="preserve"> (TB ignites across the box). Figure 2 shows the resulting 2-D sensitivity map; within the conservative band (channeling efficiency ≤ 0.5) the Wang result is sub-ignition over a finite region and razor-thin elsewhere. This is an </w:t>
      </w:r>
      <w:r>
        <w:rPr>
          <w:b w:val="0"/>
          <w:i/>
        </w:rPr>
        <w:t>identifiability</w:t>
      </w:r>
      <w:r>
        <w:rPr>
          <w:b w:val="0"/>
          <w:i w:val="0"/>
        </w:rPr>
        <w:t xml:space="preserve">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full ranges in Table 4)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w:t>
      </w:r>
      <w:r>
        <w:rPr>
          <w:b w:val="0"/>
          <w:i w:val="0"/>
        </w:rPr>
        <w:t>η</w:t>
      </w:r>
      <w:r>
        <w:rPr>
          <w:b w:val="0"/>
          <w:i w:val="0"/>
          <w:vertAlign w:val="subscript"/>
        </w:rPr>
        <w:t>ch</w:t>
      </w:r>
      <w:r>
        <w:rPr>
          <w:b w:val="0"/>
          <w:i w:val="0"/>
        </w:rPr>
        <w:t xml:space="preserve"> ≤ 0.20,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0.40,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 0.01), which contains zero positive samples. Both positive samples' full coordinates are tabulated in the released </w:t>
      </w:r>
      <w:r>
        <w:rPr>
          <w:rFonts w:ascii="Consolas" w:hAnsi="Consolas"/>
          <w:sz w:val="20"/>
        </w:rPr>
        <w:t>montecarlo_*.csv</w:t>
      </w:r>
      <w:r>
        <w:rPr>
          <w:b w:val="0"/>
          <w:i w:val="0"/>
        </w:rPr>
        <w:t xml:space="preserve">. Two independent accounting approaches bracket the conservative margin at </w:t>
      </w:r>
      <w:r>
        <w:rPr>
          <w:b/>
          <w:i w:val="0"/>
        </w:rPr>
        <w:t>−14% to −76%</w:t>
      </w:r>
      <w:r>
        <w:rPr>
          <w:b w:val="0"/>
          <w:i w:val="0"/>
        </w:rPr>
        <w:t>, both negative. Figure 3 shows the net-power distribution.</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 xml:space="preserve">A specific reconciliation is warranted with Wang et al. [3], whose evaluation of the same cross section concludes that bremsstrahlung does not preclude p-11B ignition. At the level of a thermal fusion-to-bremsstrahlung balance we concur—with the identical parameterization our thermal ratio peaks marginally above unity (~1.01)—so the divergence is not one of cross-section physics but of accounting completeness. A bare thermal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comparison reads a near-unity ratio as "not precluded," whereas the present budget additionally charges the wave-drive and recirculation costs of any non-equilibrium enhancement (</w:t>
      </w:r>
      <w:r>
        <w:rPr>
          <w:b w:val="0"/>
          <w:i w:val="0"/>
        </w:rPr>
        <w:t>P</w:t>
      </w:r>
      <w:r>
        <w:rPr>
          <w:b w:val="0"/>
          <w:i w:val="0"/>
          <w:vertAlign w:val="subscript"/>
        </w:rPr>
        <w:t>drive</w:t>
      </w:r>
      <w:r>
        <w:rPr>
          <w:b w:val="0"/>
          <w:i w:val="0"/>
        </w:rPr>
        <w:t xml:space="preserve">, </w:t>
      </w:r>
      <w:r>
        <w:rPr>
          <w:b w:val="0"/>
          <w:i w:val="0"/>
        </w:rPr>
        <w:t>P</w:t>
      </w:r>
      <w:r>
        <w:rPr>
          <w:b w:val="0"/>
          <w:i w:val="0"/>
          <w:vertAlign w:val="subscript"/>
        </w:rPr>
        <w:t>relax</w:t>
      </w:r>
      <w:r>
        <w:rPr>
          <w:b w:val="0"/>
          <w:i w:val="0"/>
        </w:rPr>
        <w:t>, à la Rider) and propagates losses across the combinatorial, transient, and spatial regimes; under this fuller accounting the near-unity thermal margin becomes a fragile, threshold-level result with no positive net-power window. Wang's conclusion is therefore not contradicted but shown to be sensitive to the completeness of the loss accounting—the very sensitivity that is this work's central theme.</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Author declarations</w:t>
      </w:r>
    </w:p>
    <w:p>
      <w:r>
        <w:rPr>
          <w:b/>
          <w:i w:val="0"/>
        </w:rPr>
        <w:t>Conflict of interest.</w:t>
      </w:r>
      <w:r>
        <w:rPr>
          <w:b w:val="0"/>
          <w:i w:val="0"/>
        </w:rPr>
        <w:t xml:space="preserve"> The author has no conflicts to disclose.</w:t>
      </w:r>
    </w:p>
    <w:p>
      <w:r>
        <w:rPr>
          <w:b/>
          <w:i w:val="0"/>
        </w:rPr>
        <w:t>Author contributions.</w:t>
      </w:r>
      <w:r>
        <w:rPr>
          <w:b w:val="0"/>
          <w:i w:val="0"/>
        </w:rPr>
        <w:t xml:space="preserve"> Mehmet Enes Süzek: Conceptualization; Methodology; Software; Validation; Formal analysis; Writing – original draft; Writing – review and editing.</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DOI: 10.5281/zenodo.21104021 (release v2.1, commit 27495ca),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 (preprint, not yet peer-reviewed).</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00" w:after="80"/>
      </w:pPr>
      <w:r>
        <w:rPr>
          <w:b/>
          <w:color w:val="1A1A1A"/>
          <w:sz w:val="24"/>
        </w:rPr>
        <w:t>Table 4 — Sobol scan lever ranges (combinatorial scan, Sec. III.D)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Lever</w:t>
            </w:r>
          </w:p>
        </w:tc>
        <w:tc>
          <w:tcPr>
            <w:tcW w:type="dxa" w:w="2340"/>
            <w:shd w:val="clear" w:color="auto" w:fill="D9E5F1"/>
          </w:tcPr>
          <w:p>
            <w:pPr>
              <w:jc w:val="left"/>
            </w:pPr>
            <w:r>
              <w:rPr>
                <w:b/>
                <w:i w:val="0"/>
                <w:sz w:val="20"/>
              </w:rPr>
              <w:t>Symbol</w:t>
            </w:r>
          </w:p>
        </w:tc>
        <w:tc>
          <w:tcPr>
            <w:tcW w:type="dxa" w:w="2340"/>
            <w:shd w:val="clear" w:color="auto" w:fill="D9E5F1"/>
          </w:tcPr>
          <w:p>
            <w:pPr>
              <w:jc w:val="left"/>
            </w:pPr>
            <w:r>
              <w:rPr>
                <w:b/>
                <w:i w:val="0"/>
                <w:sz w:val="20"/>
              </w:rPr>
              <w:t>Range</w:t>
            </w:r>
          </w:p>
        </w:tc>
        <w:tc>
          <w:tcPr>
            <w:tcW w:type="dxa" w:w="2340"/>
            <w:shd w:val="clear" w:color="auto" w:fill="D9E5F1"/>
          </w:tcPr>
          <w:p>
            <w:pPr>
              <w:jc w:val="left"/>
            </w:pPr>
            <w:r>
              <w:rPr>
                <w:b/>
                <w:i w:val="0"/>
                <w:sz w:val="20"/>
              </w:rPr>
              <w:t>Rationale</w:t>
            </w:r>
          </w:p>
        </w:tc>
      </w:tr>
      <w:tr>
        <w:tc>
          <w:tcPr>
            <w:tcW w:type="dxa" w:w="2340"/>
          </w:tcPr>
          <w:p>
            <w:pPr>
              <w:jc w:val="left"/>
            </w:pPr>
            <w:r>
              <w:rPr>
                <w:b w:val="0"/>
                <w:i w:val="0"/>
                <w:sz w:val="20"/>
              </w:rPr>
              <w:t>Ion temperature</w:t>
            </w:r>
          </w:p>
        </w:tc>
        <w:tc>
          <w:tcPr>
            <w:tcW w:type="dxa" w:w="2340"/>
          </w:tcPr>
          <w:p>
            <w:pPr>
              <w:jc w:val="left"/>
            </w:pPr>
            <w:r>
              <w:rPr>
                <w:b w:val="0"/>
                <w:i w:val="0"/>
                <w:sz w:val="20"/>
              </w:rPr>
              <w:t>T</w:t>
            </w:r>
            <w:r>
              <w:rPr>
                <w:b w:val="0"/>
                <w:i w:val="0"/>
                <w:sz w:val="20"/>
                <w:vertAlign w:val="subscript"/>
              </w:rPr>
              <w:t>i</w:t>
            </w:r>
          </w:p>
        </w:tc>
        <w:tc>
          <w:tcPr>
            <w:tcW w:type="dxa" w:w="2340"/>
          </w:tcPr>
          <w:p>
            <w:pPr>
              <w:jc w:val="left"/>
            </w:pPr>
            <w:r>
              <w:rPr>
                <w:b w:val="0"/>
                <w:i w:val="0"/>
                <w:sz w:val="20"/>
              </w:rPr>
              <w:t>150–600 keV</w:t>
            </w:r>
          </w:p>
        </w:tc>
        <w:tc>
          <w:tcPr>
            <w:tcW w:type="dxa" w:w="2340"/>
          </w:tcPr>
          <w:p>
            <w:pPr>
              <w:jc w:val="left"/>
            </w:pPr>
            <w:r>
              <w:rPr>
                <w:b w:val="0"/>
                <w:i w:val="0"/>
                <w:sz w:val="20"/>
              </w:rPr>
              <w:t>Reactivity-relevant window; ⟨σv⟩ peaks near 600 keV, negligible fusion below ~150 keV.</w:t>
            </w:r>
          </w:p>
        </w:tc>
      </w:tr>
      <w:tr>
        <w:tc>
          <w:tcPr>
            <w:tcW w:type="dxa" w:w="2340"/>
          </w:tcPr>
          <w:p>
            <w:pPr>
              <w:jc w:val="left"/>
            </w:pPr>
            <w:r>
              <w:rPr>
                <w:b w:val="0"/>
                <w:i w:val="0"/>
                <w:sz w:val="20"/>
              </w:rPr>
              <w:t>Temperature ratio</w:t>
            </w:r>
          </w:p>
        </w:tc>
        <w:tc>
          <w:tcPr>
            <w:tcW w:type="dxa" w:w="2340"/>
          </w:tcPr>
          <w:p>
            <w:pPr>
              <w:jc w:val="left"/>
            </w:pPr>
            <w:r>
              <w:rPr>
                <w:b w:val="0"/>
                <w:i w:val="0"/>
                <w:sz w:val="20"/>
              </w:rPr>
              <w:t>T</w:t>
            </w:r>
            <w:r>
              <w:rPr>
                <w:b w:val="0"/>
                <w:i w:val="0"/>
                <w:sz w:val="20"/>
                <w:vertAlign w:val="subscript"/>
              </w:rPr>
              <w:t>e</w:t>
            </w:r>
            <w:r>
              <w:rPr>
                <w:b w:val="0"/>
                <w:i w:val="0"/>
                <w:sz w:val="20"/>
              </w:rPr>
              <w:t>/</w:t>
            </w:r>
            <w:r>
              <w:rPr>
                <w:b w:val="0"/>
                <w:i w:val="0"/>
                <w:sz w:val="20"/>
              </w:rPr>
              <w:t>T</w:t>
            </w:r>
            <w:r>
              <w:rPr>
                <w:b w:val="0"/>
                <w:i w:val="0"/>
                <w:sz w:val="20"/>
                <w:vertAlign w:val="subscript"/>
              </w:rPr>
              <w:t>i</w:t>
            </w:r>
          </w:p>
        </w:tc>
        <w:tc>
          <w:tcPr>
            <w:tcW w:type="dxa" w:w="2340"/>
          </w:tcPr>
          <w:p>
            <w:pPr>
              <w:jc w:val="left"/>
            </w:pPr>
            <w:r>
              <w:rPr>
                <w:b w:val="0"/>
                <w:i w:val="0"/>
                <w:sz w:val="20"/>
              </w:rPr>
              <w:t>0.30–1.00</w:t>
            </w:r>
          </w:p>
        </w:tc>
        <w:tc>
          <w:tcPr>
            <w:tcW w:type="dxa" w:w="2340"/>
          </w:tcPr>
          <w:p>
            <w:pPr>
              <w:jc w:val="left"/>
            </w:pPr>
            <w:r>
              <w:rPr>
                <w:b w:val="0"/>
                <w:i w:val="0"/>
                <w:sz w:val="20"/>
              </w:rPr>
              <w:t xml:space="preserve">Below the self-consistent value (~0.42) up to full thermalization; sub-self-consistent values are charged via </w:t>
            </w:r>
            <w:r>
              <w:rPr>
                <w:b w:val="0"/>
                <w:i w:val="0"/>
                <w:sz w:val="20"/>
              </w:rPr>
              <w:t>P</w:t>
            </w:r>
            <w:r>
              <w:rPr>
                <w:b w:val="0"/>
                <w:i w:val="0"/>
                <w:sz w:val="20"/>
                <w:vertAlign w:val="subscript"/>
              </w:rPr>
              <w:t>relax</w:t>
            </w:r>
            <w:r>
              <w:rPr>
                <w:b w:val="0"/>
                <w:i w:val="0"/>
                <w:sz w:val="20"/>
              </w:rPr>
              <w:t>.</w:t>
            </w:r>
          </w:p>
        </w:tc>
      </w:tr>
      <w:tr>
        <w:tc>
          <w:tcPr>
            <w:tcW w:type="dxa" w:w="2340"/>
          </w:tcPr>
          <w:p>
            <w:pPr>
              <w:jc w:val="left"/>
            </w:pPr>
            <w:r>
              <w:rPr>
                <w:b w:val="0"/>
                <w:i w:val="0"/>
                <w:sz w:val="20"/>
              </w:rPr>
              <w:t>Boron fraction</w:t>
            </w:r>
          </w:p>
        </w:tc>
        <w:tc>
          <w:tcPr>
            <w:tcW w:type="dxa" w:w="2340"/>
          </w:tcPr>
          <w:p>
            <w:pPr>
              <w:jc w:val="left"/>
            </w:pPr>
            <w:r>
              <w:rPr>
                <w:b w:val="0"/>
                <w:i w:val="0"/>
                <w:sz w:val="20"/>
              </w:rPr>
              <w:t>f</w:t>
            </w:r>
            <w:r>
              <w:rPr>
                <w:b w:val="0"/>
                <w:i w:val="0"/>
                <w:sz w:val="20"/>
                <w:vertAlign w:val="subscript"/>
              </w:rPr>
              <w:t>B</w:t>
            </w:r>
          </w:p>
        </w:tc>
        <w:tc>
          <w:tcPr>
            <w:tcW w:type="dxa" w:w="2340"/>
          </w:tcPr>
          <w:p>
            <w:pPr>
              <w:jc w:val="left"/>
            </w:pPr>
            <w:r>
              <w:rPr>
                <w:b w:val="0"/>
                <w:i w:val="0"/>
                <w:sz w:val="20"/>
              </w:rPr>
              <w:t>0.05–0.30</w:t>
            </w:r>
          </w:p>
        </w:tc>
        <w:tc>
          <w:tcPr>
            <w:tcW w:type="dxa" w:w="2340"/>
          </w:tcPr>
          <w:p>
            <w:pPr>
              <w:jc w:val="left"/>
            </w:pPr>
            <w:r>
              <w:rPr>
                <w:b w:val="0"/>
                <w:i w:val="0"/>
                <w:sz w:val="20"/>
              </w:rPr>
              <w:t xml:space="preserve">Brackets the reactivity-optimal fraction (~0.13); higher </w:t>
            </w:r>
            <w:r>
              <w:rPr>
                <w:b w:val="0"/>
                <w:i w:val="0"/>
                <w:sz w:val="20"/>
              </w:rPr>
              <w:t>f</w:t>
            </w:r>
            <w:r>
              <w:rPr>
                <w:b w:val="0"/>
                <w:i w:val="0"/>
                <w:sz w:val="20"/>
                <w:vertAlign w:val="subscript"/>
              </w:rPr>
              <w:t>B</w:t>
            </w:r>
            <w:r>
              <w:rPr>
                <w:b w:val="0"/>
                <w:i w:val="0"/>
                <w:sz w:val="20"/>
              </w:rPr>
              <w:t xml:space="preserve"> raises </w:t>
            </w:r>
            <w:r>
              <w:rPr>
                <w:b w:val="0"/>
                <w:i w:val="0"/>
                <w:sz w:val="20"/>
              </w:rPr>
              <w:t>Z</w:t>
            </w:r>
            <w:r>
              <w:rPr>
                <w:b w:val="0"/>
                <w:i w:val="0"/>
                <w:sz w:val="20"/>
                <w:vertAlign w:val="subscript"/>
              </w:rPr>
              <w:t>eff</w:t>
            </w:r>
            <w:r>
              <w:rPr>
                <w:b w:val="0"/>
                <w:i w:val="0"/>
                <w:sz w:val="20"/>
              </w:rPr>
              <w:t xml:space="preserve"> and bremsstrahlung.</w:t>
            </w:r>
          </w:p>
        </w:tc>
      </w:tr>
      <w:tr>
        <w:tc>
          <w:tcPr>
            <w:tcW w:type="dxa" w:w="2340"/>
          </w:tcPr>
          <w:p>
            <w:pPr>
              <w:jc w:val="left"/>
            </w:pPr>
            <w:r>
              <w:rPr>
                <w:b w:val="0"/>
                <w:i w:val="0"/>
                <w:sz w:val="20"/>
              </w:rPr>
              <w:t>Ash fraction</w:t>
            </w:r>
          </w:p>
        </w:tc>
        <w:tc>
          <w:tcPr>
            <w:tcW w:type="dxa" w:w="2340"/>
          </w:tcPr>
          <w:p>
            <w:pPr>
              <w:jc w:val="left"/>
            </w:pP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p>
        </w:tc>
        <w:tc>
          <w:tcPr>
            <w:tcW w:type="dxa" w:w="2340"/>
          </w:tcPr>
          <w:p>
            <w:pPr>
              <w:jc w:val="left"/>
            </w:pPr>
            <w:r>
              <w:rPr>
                <w:b w:val="0"/>
                <w:i w:val="0"/>
                <w:sz w:val="20"/>
              </w:rPr>
              <w:t>0.001–0.05</w:t>
            </w:r>
          </w:p>
        </w:tc>
        <w:tc>
          <w:tcPr>
            <w:tcW w:type="dxa" w:w="2340"/>
          </w:tcPr>
          <w:p>
            <w:pPr>
              <w:jc w:val="left"/>
            </w:pPr>
            <w:r>
              <w:rPr>
                <w:b w:val="0"/>
                <w:i w:val="0"/>
                <w:sz w:val="20"/>
              </w:rPr>
              <w:t>From active ash removal [6] to accumulation without active removal.</w:t>
            </w:r>
          </w:p>
        </w:tc>
      </w:tr>
      <w:tr>
        <w:tc>
          <w:tcPr>
            <w:tcW w:type="dxa" w:w="2340"/>
          </w:tcPr>
          <w:p>
            <w:pPr>
              <w:jc w:val="left"/>
            </w:pPr>
            <w:r>
              <w:rPr>
                <w:b w:val="0"/>
                <w:i w:val="0"/>
                <w:sz w:val="20"/>
              </w:rPr>
              <w:t>Channeling efficiency</w:t>
            </w:r>
          </w:p>
        </w:tc>
        <w:tc>
          <w:tcPr>
            <w:tcW w:type="dxa" w:w="2340"/>
          </w:tcPr>
          <w:p>
            <w:pPr>
              <w:jc w:val="left"/>
            </w:pPr>
            <w:r>
              <w:rPr>
                <w:b w:val="0"/>
                <w:i w:val="0"/>
                <w:sz w:val="20"/>
              </w:rPr>
              <w:t>η</w:t>
            </w:r>
            <w:r>
              <w:rPr>
                <w:b w:val="0"/>
                <w:i w:val="0"/>
                <w:sz w:val="20"/>
                <w:vertAlign w:val="subscript"/>
              </w:rPr>
              <w:t>ch</w:t>
            </w:r>
          </w:p>
        </w:tc>
        <w:tc>
          <w:tcPr>
            <w:tcW w:type="dxa" w:w="2340"/>
          </w:tcPr>
          <w:p>
            <w:pPr>
              <w:jc w:val="left"/>
            </w:pPr>
            <w:r>
              <w:rPr>
                <w:b w:val="0"/>
                <w:i w:val="0"/>
                <w:sz w:val="20"/>
              </w:rPr>
              <w:t>0–0.5</w:t>
            </w:r>
          </w:p>
        </w:tc>
        <w:tc>
          <w:tcPr>
            <w:tcW w:type="dxa" w:w="2340"/>
          </w:tcPr>
          <w:p>
            <w:pPr>
              <w:jc w:val="left"/>
            </w:pPr>
            <w:r>
              <w:rPr>
                <w:b w:val="0"/>
                <w:i w:val="0"/>
                <w:sz w:val="20"/>
              </w:rPr>
              <w:t xml:space="preserve">Zero to the idealized-theory ceiling; </w:t>
            </w:r>
            <w:r>
              <w:rPr>
                <w:b w:val="0"/>
                <w:i w:val="0"/>
                <w:sz w:val="20"/>
              </w:rPr>
              <w:t>η</w:t>
            </w:r>
            <w:r>
              <w:rPr>
                <w:b w:val="0"/>
                <w:i w:val="0"/>
                <w:sz w:val="20"/>
                <w:vertAlign w:val="subscript"/>
              </w:rPr>
              <w:t>ch</w:t>
            </w:r>
            <w:r>
              <w:rPr>
                <w:b w:val="0"/>
                <w:i w:val="0"/>
                <w:sz w:val="20"/>
              </w:rPr>
              <w:t xml:space="preserve"> &gt; 0.5 is not a demonstrated value [6].</w:t>
            </w:r>
          </w:p>
        </w:tc>
      </w:tr>
      <w:tr>
        <w:tc>
          <w:tcPr>
            <w:tcW w:type="dxa" w:w="2340"/>
          </w:tcPr>
          <w:p>
            <w:pPr>
              <w:jc w:val="left"/>
            </w:pPr>
            <w:r>
              <w:rPr>
                <w:b w:val="0"/>
                <w:i w:val="0"/>
                <w:sz w:val="20"/>
              </w:rPr>
              <w:t>Tail fraction</w:t>
            </w:r>
          </w:p>
        </w:tc>
        <w:tc>
          <w:tcPr>
            <w:tcW w:type="dxa" w:w="2340"/>
          </w:tcPr>
          <w:p>
            <w:pPr>
              <w:jc w:val="left"/>
            </w:pPr>
            <w:r>
              <w:rPr>
                <w:b w:val="0"/>
                <w:i w:val="0"/>
                <w:sz w:val="20"/>
              </w:rPr>
              <w:t>f</w:t>
            </w:r>
            <w:r>
              <w:rPr>
                <w:b w:val="0"/>
                <w:i w:val="0"/>
                <w:sz w:val="20"/>
                <w:vertAlign w:val="subscript"/>
              </w:rPr>
              <w:t>tail</w:t>
            </w:r>
          </w:p>
        </w:tc>
        <w:tc>
          <w:tcPr>
            <w:tcW w:type="dxa" w:w="2340"/>
          </w:tcPr>
          <w:p>
            <w:pPr>
              <w:jc w:val="left"/>
            </w:pPr>
            <w:r>
              <w:rPr>
                <w:b w:val="0"/>
                <w:i w:val="0"/>
                <w:sz w:val="20"/>
              </w:rPr>
              <w:t>0.10–0.60</w:t>
            </w:r>
          </w:p>
        </w:tc>
        <w:tc>
          <w:tcPr>
            <w:tcW w:type="dxa" w:w="2340"/>
          </w:tcPr>
          <w:p>
            <w:pPr>
              <w:jc w:val="left"/>
            </w:pPr>
            <w:r>
              <w:rPr>
                <w:b w:val="0"/>
                <w:i w:val="0"/>
                <w:sz w:val="20"/>
              </w:rPr>
              <w:t>Fraction of channeled power feeding the reactive suprathermal tail; upper end optimistic.</w:t>
            </w:r>
          </w:p>
        </w:tc>
      </w:tr>
      <w:tr>
        <w:tc>
          <w:tcPr>
            <w:tcW w:type="dxa" w:w="2340"/>
          </w:tcPr>
          <w:p>
            <w:pPr>
              <w:jc w:val="left"/>
            </w:pPr>
            <w:r>
              <w:rPr>
                <w:b w:val="0"/>
                <w:i w:val="0"/>
                <w:sz w:val="20"/>
              </w:rPr>
              <w:t>Drive efficiency</w:t>
            </w:r>
          </w:p>
        </w:tc>
        <w:tc>
          <w:tcPr>
            <w:tcW w:type="dxa" w:w="2340"/>
          </w:tcPr>
          <w:p>
            <w:pPr>
              <w:jc w:val="left"/>
            </w:pPr>
            <w:r>
              <w:rPr>
                <w:b w:val="0"/>
                <w:i w:val="0"/>
                <w:sz w:val="20"/>
              </w:rPr>
              <w:t>η</w:t>
            </w:r>
            <w:r>
              <w:rPr>
                <w:b w:val="0"/>
                <w:i w:val="0"/>
                <w:sz w:val="20"/>
                <w:vertAlign w:val="subscript"/>
              </w:rPr>
              <w:t>drive</w:t>
            </w:r>
          </w:p>
        </w:tc>
        <w:tc>
          <w:tcPr>
            <w:tcW w:type="dxa" w:w="2340"/>
          </w:tcPr>
          <w:p>
            <w:pPr>
              <w:jc w:val="left"/>
            </w:pPr>
            <w:r>
              <w:rPr>
                <w:b w:val="0"/>
                <w:i w:val="0"/>
                <w:sz w:val="20"/>
              </w:rPr>
              <w:t>0.30–0.80</w:t>
            </w:r>
          </w:p>
        </w:tc>
        <w:tc>
          <w:tcPr>
            <w:tcW w:type="dxa" w:w="2340"/>
          </w:tcPr>
          <w:p>
            <w:pPr>
              <w:jc w:val="left"/>
            </w:pPr>
            <w:r>
              <w:rPr>
                <w:b w:val="0"/>
                <w:i w:val="0"/>
                <w:sz w:val="20"/>
              </w:rPr>
              <w:t>Practical-to-optimistic RF/wave-drive efficiency.</w:t>
            </w:r>
          </w:p>
        </w:tc>
      </w:tr>
      <w:tr>
        <w:tc>
          <w:tcPr>
            <w:tcW w:type="dxa" w:w="2340"/>
          </w:tcPr>
          <w:p>
            <w:pPr>
              <w:jc w:val="left"/>
            </w:pPr>
            <w:r>
              <w:rPr>
                <w:b w:val="0"/>
                <w:i w:val="0"/>
                <w:sz w:val="20"/>
              </w:rPr>
              <w:t>Impurity fraction</w:t>
            </w:r>
          </w:p>
        </w:tc>
        <w:tc>
          <w:tcPr>
            <w:tcW w:type="dxa" w:w="2340"/>
          </w:tcPr>
          <w:p>
            <w:pPr>
              <w:jc w:val="left"/>
            </w:pPr>
            <w:r>
              <w:rPr>
                <w:b w:val="0"/>
                <w:i w:val="0"/>
                <w:sz w:val="20"/>
              </w:rPr>
              <w:t>f</w:t>
            </w:r>
            <w:r>
              <w:rPr>
                <w:b w:val="0"/>
                <w:i w:val="0"/>
                <w:sz w:val="20"/>
                <w:vertAlign w:val="subscript"/>
              </w:rPr>
              <w:t>imp</w:t>
            </w:r>
          </w:p>
        </w:tc>
        <w:tc>
          <w:tcPr>
            <w:tcW w:type="dxa" w:w="2340"/>
          </w:tcPr>
          <w:p>
            <w:pPr>
              <w:jc w:val="left"/>
            </w:pPr>
            <w:r>
              <w:rPr>
                <w:b w:val="0"/>
                <w:i w:val="0"/>
                <w:sz w:val="20"/>
              </w:rPr>
              <w:t>0–0.02</w:t>
            </w:r>
          </w:p>
        </w:tc>
        <w:tc>
          <w:tcPr>
            <w:tcW w:type="dxa" w:w="2340"/>
          </w:tcPr>
          <w:p>
            <w:pPr>
              <w:jc w:val="left"/>
            </w:pPr>
            <w:r>
              <w:rPr>
                <w:b w:val="0"/>
                <w:i w:val="0"/>
                <w:sz w:val="20"/>
              </w:rPr>
              <w:t>Clean plasma to a few-percent high-Z wall contamination.</w:t>
            </w:r>
          </w:p>
        </w:tc>
      </w:tr>
      <w:tr>
        <w:tc>
          <w:tcPr>
            <w:tcW w:type="dxa" w:w="2340"/>
          </w:tcPr>
          <w:p>
            <w:pPr>
              <w:jc w:val="left"/>
            </w:pPr>
            <w:r>
              <w:rPr>
                <w:b w:val="0"/>
                <w:i w:val="0"/>
                <w:sz w:val="20"/>
              </w:rPr>
              <w:t>Synchrotron loss</w:t>
            </w:r>
          </w:p>
        </w:tc>
        <w:tc>
          <w:tcPr>
            <w:tcW w:type="dxa" w:w="2340"/>
          </w:tcPr>
          <w:p>
            <w:pPr>
              <w:jc w:val="left"/>
            </w:pPr>
            <w:r>
              <w:rPr>
                <w:b w:val="0"/>
                <w:i w:val="0"/>
                <w:sz w:val="20"/>
              </w:rPr>
              <w:t>ξ</w:t>
            </w:r>
            <w:r>
              <w:rPr>
                <w:b w:val="0"/>
                <w:i w:val="0"/>
                <w:sz w:val="20"/>
                <w:vertAlign w:val="subscript"/>
              </w:rPr>
              <w:t>sync</w:t>
            </w:r>
          </w:p>
        </w:tc>
        <w:tc>
          <w:tcPr>
            <w:tcW w:type="dxa" w:w="2340"/>
          </w:tcPr>
          <w:p>
            <w:pPr>
              <w:jc w:val="left"/>
            </w:pPr>
            <w:r>
              <w:rPr>
                <w:b w:val="0"/>
                <w:i w:val="0"/>
                <w:sz w:val="20"/>
              </w:rPr>
              <w:t>0–0.30</w:t>
            </w:r>
          </w:p>
        </w:tc>
        <w:tc>
          <w:tcPr>
            <w:tcW w:type="dxa" w:w="2340"/>
          </w:tcPr>
          <w:p>
            <w:pPr>
              <w:jc w:val="left"/>
            </w:pPr>
            <w:r>
              <w:rPr>
                <w:b w:val="0"/>
                <w:i w:val="0"/>
                <w:sz w:val="20"/>
              </w:rPr>
              <w:t>Synchrotron loss as a fraction of bremsstrahlung; 0 (fully reabsorbed) to 0.30.</w:t>
            </w:r>
          </w:p>
        </w:tc>
      </w:tr>
      <w:tr>
        <w:tc>
          <w:tcPr>
            <w:tcW w:type="dxa" w:w="2340"/>
          </w:tcPr>
          <w:p>
            <w:pPr>
              <w:jc w:val="left"/>
            </w:pPr>
            <w:r>
              <w:rPr>
                <w:b w:val="0"/>
                <w:i w:val="0"/>
                <w:sz w:val="20"/>
              </w:rPr>
              <w:t>Impurity charge</w:t>
            </w:r>
          </w:p>
        </w:tc>
        <w:tc>
          <w:tcPr>
            <w:tcW w:type="dxa" w:w="2340"/>
          </w:tcPr>
          <w:p>
            <w:pPr>
              <w:jc w:val="left"/>
            </w:pPr>
            <w:r>
              <w:rPr>
                <w:b w:val="0"/>
                <w:i w:val="0"/>
                <w:sz w:val="20"/>
              </w:rPr>
              <w:t>Z</w:t>
            </w:r>
            <w:r>
              <w:rPr>
                <w:b w:val="0"/>
                <w:i w:val="0"/>
                <w:sz w:val="20"/>
                <w:vertAlign w:val="subscript"/>
              </w:rPr>
              <w:t>imp</w:t>
            </w:r>
          </w:p>
        </w:tc>
        <w:tc>
          <w:tcPr>
            <w:tcW w:type="dxa" w:w="2340"/>
          </w:tcPr>
          <w:p>
            <w:pPr>
              <w:jc w:val="left"/>
            </w:pPr>
            <w:r>
              <w:rPr>
                <w:b w:val="0"/>
                <w:i w:val="0"/>
                <w:sz w:val="20"/>
              </w:rPr>
              <w:t>{6, 26}</w:t>
            </w:r>
          </w:p>
        </w:tc>
        <w:tc>
          <w:tcPr>
            <w:tcW w:type="dxa" w:w="2340"/>
          </w:tcPr>
          <w:p>
            <w:pPr>
              <w:jc w:val="left"/>
            </w:pPr>
            <w:r>
              <w:rPr>
                <w:b w:val="0"/>
                <w:i w:val="0"/>
                <w:sz w:val="20"/>
              </w:rPr>
              <w:t>Carbon and iron (realistic high-Z wall); since bremsstrahlung ∝ Z², a single low-Z would understate the penalty.</w:t>
            </w:r>
          </w:p>
        </w:tc>
      </w:tr>
    </w:tbl>
    <w:p>
      <w:pPr>
        <w:spacing w:after="80"/>
      </w:pPr>
    </w:p>
    <w:p>
      <w:r>
        <w:rPr>
          <w:b w:val="0"/>
          <w:i w:val="0"/>
        </w:rPr>
        <w:t xml:space="preserve">(Ranges are the actual Sobol bounds of </w:t>
      </w:r>
      <w:r>
        <w:rPr>
          <w:rFonts w:ascii="Consolas" w:hAnsi="Consolas"/>
          <w:sz w:val="20"/>
        </w:rPr>
        <w:t>scripts/alpha_channeling_montecarlo.py</w:t>
      </w:r>
      <w:r>
        <w:rPr>
          <w:b w:val="0"/>
          <w:i w:val="0"/>
        </w:rPr>
        <w:t xml:space="preserve">; ion density </w:t>
      </w:r>
      <w:r>
        <w:rPr>
          <w:b w:val="0"/>
          <w:i w:val="0"/>
        </w:rPr>
        <w:t>n</w:t>
      </w:r>
      <w:r>
        <w:rPr>
          <w:b w:val="0"/>
          <w:i w:val="0"/>
          <w:vertAlign w:val="subscript"/>
        </w:rPr>
        <w:t>i</w:t>
      </w:r>
      <w:r>
        <w:rPr>
          <w:b w:val="0"/>
          <w:i w:val="0"/>
        </w:rPr>
        <w:t xml:space="preserve"> is not a lever because </w:t>
      </w:r>
      <w:r>
        <w:rPr>
          <w:b w:val="0"/>
          <w:i w:val="0"/>
        </w:rPr>
        <w:t>P</w:t>
      </w:r>
      <w:r>
        <w:rPr>
          <w:b w:val="0"/>
          <w:i w:val="0"/>
          <w:vertAlign w:val="subscript"/>
        </w:rPr>
        <w:t>net</w:t>
      </w:r>
      <w:r>
        <w:rPr>
          <w:b w:val="0"/>
          <w:i w:val="0"/>
        </w:rPr>
        <w:t>/</w:t>
      </w:r>
      <w:r>
        <w:rPr>
          <w:b w:val="0"/>
          <w:i w:val="0"/>
        </w:rPr>
        <w:t>P</w:t>
      </w:r>
      <w:r>
        <w:rPr>
          <w:b w:val="0"/>
          <w:i w:val="0"/>
          <w:vertAlign w:val="subscript"/>
        </w:rPr>
        <w:t>brems</w:t>
      </w:r>
      <w:r>
        <w:rPr>
          <w:b w:val="0"/>
          <w:i w:val="0"/>
        </w:rPr>
        <w:t xml:space="preserve"> is density-independent (both ∝ n²), and </w:t>
      </w:r>
      <w:r>
        <w:rPr>
          <w:b w:val="0"/>
          <w:i w:val="0"/>
        </w:rPr>
        <w:t>Z</w:t>
      </w:r>
      <w:r>
        <w:rPr>
          <w:b w:val="0"/>
          <w:i w:val="0"/>
          <w:vertAlign w:val="subscript"/>
        </w:rPr>
        <w:t>imp</w:t>
      </w:r>
      <w:r>
        <w:rPr>
          <w:b w:val="0"/>
          <w:i w:val="0"/>
        </w:rPr>
        <w:t xml:space="preserve"> is a discrete two-value scenario. The null result (0 of 4.19×10⁶) is therefore not an artifact of a narrow sampling box: even with every lever at its most optimistic bound, no positive net-power sample survives strict (Rider) accounting.)</w:t>
      </w: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15753"/>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15753"/>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38514"/>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38514"/>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15980"/>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15980"/>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1633"/>
            <wp:docPr id="4" name="Picture 4"/>
            <wp:cNvGraphicFramePr>
              <a:graphicFrameLocks noChangeAspect="1"/>
            </wp:cNvGraphicFramePr>
            <a:graphic>
              <a:graphicData uri="http://schemas.openxmlformats.org/drawingml/2006/picture">
                <pic:pic>
                  <pic:nvPicPr>
                    <pic:cNvPr id="0" name="pulsed_timeseries.png"/>
                    <pic:cNvPicPr/>
                  </pic:nvPicPr>
                  <pic:blipFill>
                    <a:blip r:embed="rId12"/>
                    <a:stretch>
                      <a:fillRect/>
                    </a:stretch>
                  </pic:blipFill>
                  <pic:spPr>
                    <a:xfrm>
                      <a:off x="0" y="0"/>
                      <a:ext cx="5852160" cy="4111633"/>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27367"/>
            <wp:docPr id="5" name="Picture 5"/>
            <wp:cNvGraphicFramePr>
              <a:graphicFrameLocks noChangeAspect="1"/>
            </wp:cNvGraphicFramePr>
            <a:graphic>
              <a:graphicData uri="http://schemas.openxmlformats.org/drawingml/2006/picture">
                <pic:pic>
                  <pic:nvPicPr>
                    <pic:cNvPr id="0" name="pulsed_Gmap.png"/>
                    <pic:cNvPicPr/>
                  </pic:nvPicPr>
                  <pic:blipFill>
                    <a:blip r:embed="rId13"/>
                    <a:stretch>
                      <a:fillRect/>
                    </a:stretch>
                  </pic:blipFill>
                  <pic:spPr>
                    <a:xfrm>
                      <a:off x="0" y="0"/>
                      <a:ext cx="5852160" cy="4327367"/>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70311"/>
            <wp:docPr id="6" name="Picture 6"/>
            <wp:cNvGraphicFramePr>
              <a:graphicFrameLocks noChangeAspect="1"/>
            </wp:cNvGraphicFramePr>
            <a:graphic>
              <a:graphicData uri="http://schemas.openxmlformats.org/drawingml/2006/picture">
                <pic:pic>
                  <pic:nvPicPr>
                    <pic:cNvPr id="0" name="radial_profiles.png"/>
                    <pic:cNvPicPr/>
                  </pic:nvPicPr>
                  <pic:blipFill>
                    <a:blip r:embed="rId14"/>
                    <a:stretch>
                      <a:fillRect/>
                    </a:stretch>
                  </pic:blipFill>
                  <pic:spPr>
                    <a:xfrm>
                      <a:off x="0" y="0"/>
                      <a:ext cx="5852160" cy="1770311"/>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7734"/>
            <wp:docPr id="7" name="Picture 7"/>
            <wp:cNvGraphicFramePr>
              <a:graphicFrameLocks noChangeAspect="1"/>
            </wp:cNvGraphicFramePr>
            <a:graphic>
              <a:graphicData uri="http://schemas.openxmlformats.org/drawingml/2006/picture">
                <pic:pic>
                  <pic:nvPicPr>
                    <pic:cNvPr id="0" name="radial_Pnet_maps.png"/>
                    <pic:cNvPicPr/>
                  </pic:nvPicPr>
                  <pic:blipFill>
                    <a:blip r:embed="rId15"/>
                    <a:stretch>
                      <a:fillRect/>
                    </a:stretch>
                  </pic:blipFill>
                  <pic:spPr>
                    <a:xfrm>
                      <a:off x="0" y="0"/>
                      <a:ext cx="5852160" cy="2617734"/>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